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89F9" w14:textId="4ABFB85E" w:rsidR="00C52B21" w:rsidRDefault="00C52B21" w:rsidP="00C52B21"/>
    <w:p w14:paraId="18E74106" w14:textId="77777777" w:rsidR="00B1027A" w:rsidRPr="00AC3250" w:rsidRDefault="00B1027A" w:rsidP="00B1027A">
      <w:pPr>
        <w:spacing w:after="0" w:line="240" w:lineRule="auto"/>
        <w:ind w:left="10" w:hanging="10"/>
        <w:contextualSpacing/>
        <w:jc w:val="center"/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</w:pPr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Guide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til</w:t>
      </w:r>
      <w:proofErr w:type="spellEnd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reduktion</w:t>
      </w:r>
      <w:proofErr w:type="spellEnd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af</w:t>
      </w:r>
      <w:proofErr w:type="spellEnd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lægemiddel</w:t>
      </w:r>
      <w:proofErr w:type="spellEnd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-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og</w:t>
      </w:r>
      <w:proofErr w:type="spellEnd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brugsrisici</w:t>
      </w:r>
      <w:proofErr w:type="spellEnd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 xml:space="preserve"> - </w:t>
      </w:r>
      <w:proofErr w:type="spellStart"/>
      <w:r w:rsidRPr="00AC3250">
        <w:rPr>
          <w:rFonts w:ascii="Arial Narrow" w:eastAsia="Times New Roman" w:hAnsi="Arial Narrow" w:cs="Times New Roman"/>
          <w:b/>
          <w:bCs/>
          <w:color w:val="FF0000"/>
          <w:spacing w:val="-10"/>
          <w:w w:val="115"/>
          <w:kern w:val="28"/>
          <w:sz w:val="40"/>
          <w:szCs w:val="40"/>
          <w:lang w:eastAsia="de-DE"/>
        </w:rPr>
        <w:t>Sundhedspersonale</w:t>
      </w:r>
      <w:proofErr w:type="spellEnd"/>
    </w:p>
    <w:p w14:paraId="7AB64E54" w14:textId="1848DBB9" w:rsidR="00B1027A" w:rsidRPr="00C9775B" w:rsidRDefault="00B1027A" w:rsidP="00B1027A">
      <w:pPr>
        <w:spacing w:after="194" w:line="247" w:lineRule="auto"/>
        <w:ind w:left="10" w:hanging="10"/>
        <w:jc w:val="center"/>
        <w:rPr>
          <w:rFonts w:ascii="Arial Narrow" w:eastAsia="Calibri" w:hAnsi="Arial Narrow" w:cs="Calibri"/>
          <w:color w:val="000000"/>
          <w:sz w:val="24"/>
          <w:lang w:eastAsia="de-DE"/>
        </w:rPr>
      </w:pPr>
      <w:r w:rsidRPr="00C9775B">
        <w:rPr>
          <w:rFonts w:ascii="Arial Narrow" w:eastAsia="Calibri" w:hAnsi="Arial Narrow" w:cs="Calibri"/>
          <w:color w:val="000000"/>
          <w:sz w:val="24"/>
          <w:lang w:eastAsia="de-DE"/>
        </w:rPr>
        <w:t xml:space="preserve">Se </w:t>
      </w:r>
      <w:proofErr w:type="spellStart"/>
      <w:r w:rsidRPr="00C9775B">
        <w:rPr>
          <w:rFonts w:ascii="Arial Narrow" w:eastAsia="Calibri" w:hAnsi="Arial Narrow" w:cs="Calibri"/>
          <w:color w:val="000000"/>
          <w:sz w:val="24"/>
          <w:lang w:eastAsia="de-DE"/>
        </w:rPr>
        <w:t>også</w:t>
      </w:r>
      <w:proofErr w:type="spellEnd"/>
      <w:r w:rsidRPr="00C9775B">
        <w:rPr>
          <w:rFonts w:ascii="Arial Narrow" w:eastAsia="Calibri" w:hAnsi="Arial Narrow" w:cs="Calibri"/>
          <w:color w:val="000000"/>
          <w:sz w:val="24"/>
          <w:lang w:eastAsia="de-DE"/>
        </w:rPr>
        <w:t xml:space="preserve"> </w:t>
      </w:r>
      <w:proofErr w:type="spellStart"/>
      <w:r w:rsidR="001E02F2" w:rsidRPr="001E02F2">
        <w:rPr>
          <w:rFonts w:ascii="Arial Narrow" w:eastAsia="Calibri" w:hAnsi="Arial Narrow" w:cs="Calibri"/>
          <w:bCs/>
          <w:color w:val="000000"/>
          <w:sz w:val="24"/>
          <w:lang w:eastAsia="de-DE"/>
        </w:rPr>
        <w:t>produktresuméet</w:t>
      </w:r>
      <w:proofErr w:type="spellEnd"/>
      <w:r w:rsidR="001E02F2" w:rsidRPr="001E02F2">
        <w:rPr>
          <w:rFonts w:ascii="Arial Narrow" w:eastAsia="Calibri" w:hAnsi="Arial Narrow" w:cs="Calibri"/>
          <w:bCs/>
          <w:color w:val="000000"/>
          <w:sz w:val="24"/>
          <w:lang w:eastAsia="de-DE"/>
        </w:rPr>
        <w:t>/</w:t>
      </w:r>
      <w:proofErr w:type="spellStart"/>
      <w:r w:rsidR="001E02F2" w:rsidRPr="001E02F2">
        <w:rPr>
          <w:rFonts w:ascii="Arial Narrow" w:eastAsia="Calibri" w:hAnsi="Arial Narrow" w:cs="Calibri"/>
          <w:bCs/>
          <w:color w:val="000000"/>
          <w:sz w:val="24"/>
          <w:lang w:eastAsia="de-DE"/>
        </w:rPr>
        <w:t>indlægssedlen</w:t>
      </w:r>
      <w:proofErr w:type="spellEnd"/>
      <w:r w:rsidR="001E02F2" w:rsidRPr="001E02F2">
        <w:rPr>
          <w:rFonts w:ascii="Arial Narrow" w:eastAsia="Calibri" w:hAnsi="Arial Narrow" w:cs="Calibri"/>
          <w:bCs/>
          <w:color w:val="000000"/>
          <w:sz w:val="24"/>
          <w:lang w:eastAsia="de-DE"/>
        </w:rPr>
        <w:t xml:space="preserve"> </w:t>
      </w:r>
      <w:proofErr w:type="spellStart"/>
      <w:r w:rsidR="001E02F2" w:rsidRPr="001E02F2">
        <w:rPr>
          <w:rFonts w:ascii="Arial Narrow" w:eastAsia="Calibri" w:hAnsi="Arial Narrow" w:cs="Calibri"/>
          <w:bCs/>
          <w:color w:val="000000"/>
          <w:sz w:val="24"/>
          <w:lang w:eastAsia="de-DE"/>
        </w:rPr>
        <w:t>for</w:t>
      </w:r>
      <w:proofErr w:type="spellEnd"/>
      <w:r w:rsidR="001E02F2" w:rsidRPr="001E02F2">
        <w:rPr>
          <w:rFonts w:ascii="Arial Narrow" w:eastAsia="Calibri" w:hAnsi="Arial Narrow" w:cs="Calibri"/>
          <w:bCs/>
          <w:color w:val="000000"/>
          <w:sz w:val="24"/>
          <w:lang w:eastAsia="de-DE"/>
        </w:rPr>
        <w:t xml:space="preserve"> </w:t>
      </w:r>
      <w:proofErr w:type="spellStart"/>
      <w:r w:rsidRPr="00C9775B">
        <w:rPr>
          <w:rFonts w:ascii="Arial Narrow" w:eastAsia="Calibri" w:hAnsi="Arial Narrow" w:cs="Calibri"/>
          <w:color w:val="000000"/>
          <w:sz w:val="24"/>
          <w:lang w:eastAsia="de-DE"/>
        </w:rPr>
        <w:t>dabigatranetexilat</w:t>
      </w:r>
      <w:proofErr w:type="spellEnd"/>
    </w:p>
    <w:p w14:paraId="4727030C" w14:textId="3D74FC4D" w:rsidR="00ED0C0B" w:rsidRDefault="00B1027A" w:rsidP="00ED0C0B">
      <w:pPr>
        <w:jc w:val="center"/>
        <w:rPr>
          <w:rFonts w:ascii="Arial Narrow" w:eastAsia="Calibri" w:hAnsi="Arial Narrow" w:cs="Calibri"/>
          <w:b/>
          <w:color w:val="000000"/>
          <w:sz w:val="40"/>
          <w:szCs w:val="40"/>
        </w:rPr>
      </w:pPr>
      <w:bookmarkStart w:id="0" w:name="_Hlk179461300"/>
      <w:r w:rsidRPr="00C9775B">
        <w:rPr>
          <w:rFonts w:ascii="Arial Narrow" w:eastAsia="Calibri" w:hAnsi="Arial Narrow" w:cs="Calibri"/>
          <w:b/>
          <w:color w:val="000000"/>
          <w:sz w:val="40"/>
          <w:szCs w:val="40"/>
        </w:rPr>
        <w:t>Dabigatran-</w:t>
      </w:r>
      <w:proofErr w:type="spellStart"/>
      <w:r w:rsidRPr="00C9775B">
        <w:rPr>
          <w:rFonts w:ascii="Arial Narrow" w:eastAsia="Calibri" w:hAnsi="Arial Narrow" w:cs="Calibri"/>
          <w:b/>
          <w:color w:val="000000"/>
          <w:sz w:val="40"/>
          <w:szCs w:val="40"/>
        </w:rPr>
        <w:t>etexilat</w:t>
      </w:r>
      <w:proofErr w:type="spellEnd"/>
      <w:r w:rsidRPr="00C9775B"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STADA</w:t>
      </w:r>
      <w:r w:rsidR="00ED0C0B"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</w:t>
      </w:r>
      <w:bookmarkEnd w:id="0"/>
      <w:r w:rsidR="00ED0C0B">
        <w:rPr>
          <w:rFonts w:ascii="Arial Narrow" w:eastAsia="Calibri" w:hAnsi="Arial Narrow" w:cs="Calibri"/>
          <w:b/>
          <w:color w:val="000000"/>
          <w:sz w:val="40"/>
          <w:szCs w:val="40"/>
        </w:rPr>
        <w:t>75 mg</w:t>
      </w:r>
    </w:p>
    <w:p w14:paraId="4BFFF55C" w14:textId="5BDF0AEC" w:rsidR="00ED0C0B" w:rsidRDefault="00ED0C0B" w:rsidP="00ED0C0B">
      <w:pPr>
        <w:jc w:val="center"/>
        <w:rPr>
          <w:rFonts w:ascii="Arial Narrow" w:eastAsia="Calibri" w:hAnsi="Arial Narrow" w:cs="Calibri"/>
          <w:b/>
          <w:color w:val="000000"/>
          <w:sz w:val="40"/>
          <w:szCs w:val="40"/>
        </w:rPr>
      </w:pPr>
      <w:r w:rsidRPr="00ED0C0B">
        <w:rPr>
          <w:rFonts w:ascii="Arial Narrow" w:eastAsia="Calibri" w:hAnsi="Arial Narrow" w:cs="Calibri"/>
          <w:b/>
          <w:color w:val="000000"/>
          <w:sz w:val="40"/>
          <w:szCs w:val="40"/>
        </w:rPr>
        <w:t>Dabigatran-</w:t>
      </w:r>
      <w:proofErr w:type="spellStart"/>
      <w:r w:rsidRPr="00ED0C0B">
        <w:rPr>
          <w:rFonts w:ascii="Arial Narrow" w:eastAsia="Calibri" w:hAnsi="Arial Narrow" w:cs="Calibri"/>
          <w:b/>
          <w:color w:val="000000"/>
          <w:sz w:val="40"/>
          <w:szCs w:val="40"/>
        </w:rPr>
        <w:t>etexilat</w:t>
      </w:r>
      <w:proofErr w:type="spellEnd"/>
      <w:r w:rsidRPr="00ED0C0B"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STADA</w:t>
      </w:r>
      <w:r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110 mg</w:t>
      </w:r>
    </w:p>
    <w:p w14:paraId="6C14E996" w14:textId="7C6FE097" w:rsidR="005E5FA0" w:rsidRDefault="005E5FA0" w:rsidP="00ED0C0B">
      <w:pPr>
        <w:jc w:val="center"/>
        <w:rPr>
          <w:rFonts w:ascii="Arial Narrow" w:eastAsia="Calibri" w:hAnsi="Arial Narrow" w:cs="Calibri"/>
          <w:b/>
          <w:color w:val="000000"/>
          <w:sz w:val="40"/>
          <w:szCs w:val="40"/>
        </w:rPr>
      </w:pPr>
    </w:p>
    <w:p w14:paraId="2C4DC35E" w14:textId="45979CAC" w:rsidR="00C52B21" w:rsidRDefault="005E5FA0" w:rsidP="00ED0C0B">
      <w:pPr>
        <w:jc w:val="center"/>
        <w:rPr>
          <w:rFonts w:ascii="Arial Narrow" w:eastAsia="Calibri" w:hAnsi="Arial Narrow" w:cs="Calibri"/>
          <w:b/>
          <w:color w:val="000000"/>
          <w:sz w:val="40"/>
          <w:szCs w:val="40"/>
        </w:rPr>
      </w:pPr>
      <w:bookmarkStart w:id="1" w:name="_Hlk179461185"/>
      <w:r w:rsidRPr="005E5FA0">
        <w:rPr>
          <w:rFonts w:ascii="Arial Narrow" w:eastAsia="Calibri" w:hAnsi="Arial Narrow" w:cs="Calibri"/>
          <w:b/>
          <w:color w:val="000000"/>
          <w:sz w:val="40"/>
          <w:szCs w:val="40"/>
        </w:rPr>
        <w:t>Dabigatran-</w:t>
      </w:r>
      <w:proofErr w:type="spellStart"/>
      <w:r w:rsidRPr="005E5FA0">
        <w:rPr>
          <w:rFonts w:ascii="Arial Narrow" w:eastAsia="Calibri" w:hAnsi="Arial Narrow" w:cs="Calibri"/>
          <w:b/>
          <w:color w:val="000000"/>
          <w:sz w:val="40"/>
          <w:szCs w:val="40"/>
        </w:rPr>
        <w:t>etexilat</w:t>
      </w:r>
      <w:proofErr w:type="spellEnd"/>
      <w:r w:rsidRPr="005E5FA0"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STADA Nordic</w:t>
      </w:r>
      <w:bookmarkEnd w:id="1"/>
      <w:r w:rsidR="00ED0C0B"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75 mg</w:t>
      </w:r>
    </w:p>
    <w:p w14:paraId="64625951" w14:textId="581DF8BF" w:rsidR="00ED0C0B" w:rsidRDefault="00ED0C0B" w:rsidP="00ED0C0B">
      <w:pPr>
        <w:jc w:val="center"/>
        <w:rPr>
          <w:rFonts w:ascii="Arial Narrow" w:eastAsia="Calibri" w:hAnsi="Arial Narrow" w:cs="Calibri"/>
          <w:b/>
          <w:color w:val="000000"/>
          <w:sz w:val="40"/>
          <w:szCs w:val="40"/>
        </w:rPr>
      </w:pPr>
      <w:r w:rsidRPr="00ED0C0B">
        <w:rPr>
          <w:rFonts w:ascii="Arial Narrow" w:eastAsia="Calibri" w:hAnsi="Arial Narrow" w:cs="Calibri"/>
          <w:b/>
          <w:color w:val="000000"/>
          <w:sz w:val="40"/>
          <w:szCs w:val="40"/>
        </w:rPr>
        <w:t>Dabigatran-</w:t>
      </w:r>
      <w:proofErr w:type="spellStart"/>
      <w:r w:rsidRPr="00ED0C0B">
        <w:rPr>
          <w:rFonts w:ascii="Arial Narrow" w:eastAsia="Calibri" w:hAnsi="Arial Narrow" w:cs="Calibri"/>
          <w:b/>
          <w:color w:val="000000"/>
          <w:sz w:val="40"/>
          <w:szCs w:val="40"/>
        </w:rPr>
        <w:t>etexilat</w:t>
      </w:r>
      <w:proofErr w:type="spellEnd"/>
      <w:r w:rsidRPr="00ED0C0B"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STADA Nordic</w:t>
      </w:r>
      <w:r>
        <w:rPr>
          <w:rFonts w:ascii="Arial Narrow" w:eastAsia="Calibri" w:hAnsi="Arial Narrow" w:cs="Calibri"/>
          <w:b/>
          <w:color w:val="000000"/>
          <w:sz w:val="40"/>
          <w:szCs w:val="40"/>
        </w:rPr>
        <w:t xml:space="preserve"> 110 mg</w:t>
      </w:r>
    </w:p>
    <w:p w14:paraId="4AD616AB" w14:textId="77777777" w:rsidR="00870318" w:rsidRPr="00115B35" w:rsidRDefault="00870318" w:rsidP="00870318">
      <w:pPr>
        <w:jc w:val="center"/>
        <w:rPr>
          <w:rFonts w:ascii="Arial Narrow" w:eastAsia="Calibri" w:hAnsi="Arial Narrow" w:cs="Calibri"/>
          <w:b/>
          <w:bCs/>
          <w:color w:val="000000"/>
          <w:sz w:val="40"/>
          <w:szCs w:val="40"/>
        </w:rPr>
      </w:pPr>
      <w:r w:rsidRPr="00870318">
        <w:rPr>
          <w:rFonts w:ascii="Arial Narrow" w:eastAsia="Calibri" w:hAnsi="Arial Narrow" w:cs="Calibri"/>
          <w:b/>
          <w:color w:val="000000"/>
          <w:sz w:val="40"/>
          <w:szCs w:val="40"/>
        </w:rPr>
        <w:t>(</w:t>
      </w:r>
      <w:proofErr w:type="spellStart"/>
      <w:r w:rsidRPr="00870318">
        <w:rPr>
          <w:rFonts w:ascii="Arial Narrow" w:eastAsia="Calibri" w:hAnsi="Arial Narrow" w:cs="Calibri"/>
          <w:b/>
          <w:color w:val="000000"/>
          <w:sz w:val="40"/>
          <w:szCs w:val="40"/>
        </w:rPr>
        <w:t>dabigatranetexilat</w:t>
      </w:r>
      <w:proofErr w:type="spellEnd"/>
      <w:r w:rsidRPr="00870318">
        <w:rPr>
          <w:rFonts w:ascii="Arial Narrow" w:eastAsia="Calibri" w:hAnsi="Arial Narrow" w:cs="Calibri"/>
          <w:b/>
          <w:color w:val="000000"/>
          <w:sz w:val="40"/>
          <w:szCs w:val="40"/>
        </w:rPr>
        <w:t>)</w:t>
      </w:r>
    </w:p>
    <w:p w14:paraId="40FDA2BF" w14:textId="77777777" w:rsidR="00870318" w:rsidRPr="00C52B21" w:rsidRDefault="00870318" w:rsidP="006D3808">
      <w:pPr>
        <w:jc w:val="center"/>
        <w:rPr>
          <w:b/>
          <w:bCs/>
          <w:sz w:val="24"/>
          <w:szCs w:val="24"/>
        </w:rPr>
      </w:pPr>
    </w:p>
    <w:p w14:paraId="3E4CA618" w14:textId="413892B6" w:rsidR="00C52B21" w:rsidRPr="00C52B21" w:rsidRDefault="00C52B21" w:rsidP="00C52B21">
      <w:pPr>
        <w:rPr>
          <w:b/>
          <w:bCs/>
        </w:rPr>
      </w:pPr>
      <w:proofErr w:type="spellStart"/>
      <w:r w:rsidRPr="00C52B21">
        <w:rPr>
          <w:b/>
          <w:bCs/>
        </w:rPr>
        <w:t>Anbefalingerne</w:t>
      </w:r>
      <w:proofErr w:type="spellEnd"/>
      <w:r w:rsidRPr="00C52B21">
        <w:rPr>
          <w:b/>
          <w:bCs/>
        </w:rPr>
        <w:t xml:space="preserve"> </w:t>
      </w:r>
      <w:proofErr w:type="spellStart"/>
      <w:r w:rsidR="004410F4">
        <w:rPr>
          <w:b/>
          <w:bCs/>
        </w:rPr>
        <w:t>vedrører</w:t>
      </w:r>
      <w:proofErr w:type="spellEnd"/>
      <w:r w:rsidR="004410F4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kun</w:t>
      </w:r>
      <w:proofErr w:type="spellEnd"/>
      <w:r w:rsidRPr="00C52B21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denne</w:t>
      </w:r>
      <w:proofErr w:type="spellEnd"/>
      <w:r w:rsidRPr="00C52B21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indikation</w:t>
      </w:r>
      <w:proofErr w:type="spellEnd"/>
      <w:r w:rsidRPr="00C52B21">
        <w:rPr>
          <w:b/>
          <w:bCs/>
        </w:rPr>
        <w:t>:</w:t>
      </w:r>
    </w:p>
    <w:p w14:paraId="3C08FC85" w14:textId="6F3187B0" w:rsidR="00C52B21" w:rsidRDefault="009C76CA" w:rsidP="00C52B21">
      <w:r w:rsidRPr="009C76CA">
        <w:t xml:space="preserve">• </w:t>
      </w:r>
      <w:proofErr w:type="spellStart"/>
      <w:r w:rsidRPr="009C76CA">
        <w:t>Primær</w:t>
      </w:r>
      <w:proofErr w:type="spellEnd"/>
      <w:r w:rsidRPr="009C76CA">
        <w:t xml:space="preserve"> </w:t>
      </w:r>
      <w:proofErr w:type="spellStart"/>
      <w:r w:rsidRPr="009C76CA">
        <w:t>forebyggelse</w:t>
      </w:r>
      <w:proofErr w:type="spellEnd"/>
      <w:r w:rsidRPr="009C76CA">
        <w:t xml:space="preserve"> </w:t>
      </w:r>
      <w:proofErr w:type="spellStart"/>
      <w:r w:rsidRPr="009C76CA">
        <w:t>af</w:t>
      </w:r>
      <w:proofErr w:type="spellEnd"/>
      <w:r w:rsidRPr="009C76CA">
        <w:t xml:space="preserve"> </w:t>
      </w:r>
      <w:proofErr w:type="spellStart"/>
      <w:r w:rsidRPr="009C76CA">
        <w:t>venøse</w:t>
      </w:r>
      <w:proofErr w:type="spellEnd"/>
      <w:r w:rsidRPr="009C76CA">
        <w:t xml:space="preserve"> </w:t>
      </w:r>
      <w:proofErr w:type="spellStart"/>
      <w:r w:rsidRPr="009C76CA">
        <w:t>tromboemboliske</w:t>
      </w:r>
      <w:proofErr w:type="spellEnd"/>
      <w:r w:rsidRPr="009C76CA">
        <w:t xml:space="preserve"> </w:t>
      </w:r>
      <w:proofErr w:type="spellStart"/>
      <w:r w:rsidRPr="009C76CA">
        <w:t>hændelser</w:t>
      </w:r>
      <w:proofErr w:type="spellEnd"/>
      <w:r w:rsidRPr="009C76CA">
        <w:t xml:space="preserve"> (VTE) </w:t>
      </w:r>
      <w:proofErr w:type="spellStart"/>
      <w:r w:rsidRPr="009C76CA">
        <w:t>efter</w:t>
      </w:r>
      <w:proofErr w:type="spellEnd"/>
      <w:r w:rsidRPr="009C76CA">
        <w:t xml:space="preserve"> elektiv </w:t>
      </w:r>
      <w:proofErr w:type="spellStart"/>
      <w:r w:rsidRPr="009C76CA">
        <w:t>kirurgisk</w:t>
      </w:r>
      <w:proofErr w:type="spellEnd"/>
      <w:r w:rsidRPr="009C76CA">
        <w:t xml:space="preserve"> </w:t>
      </w:r>
      <w:proofErr w:type="spellStart"/>
      <w:r w:rsidRPr="009C76CA">
        <w:t>hofte</w:t>
      </w:r>
      <w:proofErr w:type="spellEnd"/>
      <w:r w:rsidRPr="009C76CA">
        <w:t xml:space="preserve">- </w:t>
      </w:r>
      <w:proofErr w:type="spellStart"/>
      <w:r w:rsidRPr="009C76CA">
        <w:t>eller</w:t>
      </w:r>
      <w:proofErr w:type="spellEnd"/>
      <w:r w:rsidRPr="009C76CA">
        <w:t xml:space="preserve"> </w:t>
      </w:r>
      <w:proofErr w:type="spellStart"/>
      <w:r w:rsidRPr="009C76CA">
        <w:t>knæalloplastik</w:t>
      </w:r>
      <w:proofErr w:type="spellEnd"/>
      <w:r w:rsidRPr="009C76CA">
        <w:t xml:space="preserve"> – 1 x </w:t>
      </w:r>
      <w:proofErr w:type="spellStart"/>
      <w:r w:rsidRPr="009C76CA">
        <w:t>dagligt</w:t>
      </w:r>
      <w:proofErr w:type="spellEnd"/>
    </w:p>
    <w:p w14:paraId="40D8A6BA" w14:textId="77777777" w:rsidR="00B1027A" w:rsidRDefault="00B1027A" w:rsidP="00B1027A"/>
    <w:p w14:paraId="5280F99F" w14:textId="77777777" w:rsidR="00B1027A" w:rsidRDefault="00B1027A" w:rsidP="00B1027A"/>
    <w:p w14:paraId="38F5309D" w14:textId="77777777" w:rsidR="00B1027A" w:rsidRDefault="00B1027A" w:rsidP="00B1027A"/>
    <w:p w14:paraId="3156C76F" w14:textId="77777777" w:rsidR="00B1027A" w:rsidRDefault="00B1027A" w:rsidP="00B1027A"/>
    <w:p w14:paraId="692DC357" w14:textId="77777777" w:rsidR="00B1027A" w:rsidRDefault="00B1027A" w:rsidP="00B1027A"/>
    <w:p w14:paraId="1BABCE87" w14:textId="77777777" w:rsidR="00B1027A" w:rsidRDefault="00B1027A" w:rsidP="00B1027A"/>
    <w:p w14:paraId="291ED66E" w14:textId="77777777" w:rsidR="00B1027A" w:rsidRDefault="00B1027A" w:rsidP="00B1027A"/>
    <w:p w14:paraId="1F14F515" w14:textId="77777777" w:rsidR="00B1027A" w:rsidRDefault="00B1027A" w:rsidP="00B1027A"/>
    <w:p w14:paraId="2B282548" w14:textId="77777777" w:rsidR="00B1027A" w:rsidRDefault="00B1027A" w:rsidP="00B1027A">
      <w:pPr>
        <w:rPr>
          <w:rFonts w:ascii="Calibri" w:eastAsia="Calibri" w:hAnsi="Calibri" w:cs="Times New Roman"/>
          <w:w w:val="104"/>
          <w:sz w:val="20"/>
          <w:szCs w:val="20"/>
        </w:rPr>
      </w:pPr>
    </w:p>
    <w:p w14:paraId="14407966" w14:textId="77777777" w:rsidR="003D39F1" w:rsidRDefault="003D39F1" w:rsidP="00B1027A">
      <w:pPr>
        <w:rPr>
          <w:rFonts w:ascii="Calibri" w:eastAsia="Calibri" w:hAnsi="Calibri" w:cs="Times New Roman"/>
          <w:w w:val="104"/>
          <w:sz w:val="20"/>
          <w:szCs w:val="20"/>
        </w:rPr>
      </w:pPr>
    </w:p>
    <w:p w14:paraId="655F60C7" w14:textId="77777777" w:rsidR="003D39F1" w:rsidRDefault="003D39F1" w:rsidP="00B1027A">
      <w:pPr>
        <w:rPr>
          <w:rFonts w:ascii="Calibri" w:eastAsia="Calibri" w:hAnsi="Calibri" w:cs="Times New Roman"/>
          <w:w w:val="104"/>
          <w:sz w:val="20"/>
          <w:szCs w:val="20"/>
        </w:rPr>
      </w:pPr>
    </w:p>
    <w:p w14:paraId="772CDAA8" w14:textId="31579860" w:rsidR="00B1027A" w:rsidRDefault="00B1027A" w:rsidP="00B1027A">
      <w:pPr>
        <w:rPr>
          <w:rFonts w:ascii="Calibri" w:eastAsia="Calibri" w:hAnsi="Calibri" w:cs="Times New Roman"/>
          <w:w w:val="105"/>
          <w:sz w:val="20"/>
          <w:szCs w:val="20"/>
        </w:rPr>
      </w:pPr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I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denne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vejledning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anvendes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udtrykket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"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kapsel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" i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stedet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for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udtrykket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"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hård</w:t>
      </w:r>
      <w:proofErr w:type="spellEnd"/>
      <w:r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4"/>
          <w:sz w:val="20"/>
          <w:szCs w:val="20"/>
        </w:rPr>
        <w:t>kapsel</w:t>
      </w:r>
      <w:proofErr w:type="spellEnd"/>
      <w:r w:rsidR="005429A3" w:rsidRPr="00C9775B">
        <w:rPr>
          <w:rFonts w:ascii="Calibri" w:eastAsia="Calibri" w:hAnsi="Calibri" w:cs="Times New Roman"/>
          <w:w w:val="104"/>
          <w:sz w:val="20"/>
          <w:szCs w:val="20"/>
        </w:rPr>
        <w:t xml:space="preserve">”, </w:t>
      </w:r>
      <w:proofErr w:type="spellStart"/>
      <w:r w:rsidR="005429A3" w:rsidRPr="00C9775B">
        <w:rPr>
          <w:rFonts w:ascii="Calibri" w:eastAsia="Calibri" w:hAnsi="Calibri" w:cs="Times New Roman"/>
          <w:w w:val="104"/>
          <w:sz w:val="20"/>
          <w:szCs w:val="20"/>
        </w:rPr>
        <w:t>når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 xml:space="preserve"> den </w:t>
      </w:r>
      <w:proofErr w:type="spellStart"/>
      <w:r w:rsidRPr="00C9775B">
        <w:rPr>
          <w:rFonts w:ascii="Calibri" w:eastAsia="Calibri" w:hAnsi="Calibri" w:cs="Times New Roman"/>
          <w:w w:val="105"/>
          <w:sz w:val="20"/>
          <w:szCs w:val="20"/>
        </w:rPr>
        <w:t>farmaceutiske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5"/>
          <w:sz w:val="20"/>
          <w:szCs w:val="20"/>
        </w:rPr>
        <w:t>doseringsform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5"/>
          <w:sz w:val="20"/>
          <w:szCs w:val="20"/>
        </w:rPr>
        <w:t>nævnes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5"/>
          <w:sz w:val="20"/>
          <w:szCs w:val="20"/>
        </w:rPr>
        <w:t>for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5"/>
          <w:sz w:val="20"/>
          <w:szCs w:val="20"/>
        </w:rPr>
        <w:t>klarhedens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 xml:space="preserve"> </w:t>
      </w:r>
      <w:proofErr w:type="spellStart"/>
      <w:r w:rsidRPr="00C9775B">
        <w:rPr>
          <w:rFonts w:ascii="Calibri" w:eastAsia="Calibri" w:hAnsi="Calibri" w:cs="Times New Roman"/>
          <w:w w:val="105"/>
          <w:sz w:val="20"/>
          <w:szCs w:val="20"/>
        </w:rPr>
        <w:t>skyld</w:t>
      </w:r>
      <w:proofErr w:type="spellEnd"/>
      <w:r w:rsidRPr="00C9775B">
        <w:rPr>
          <w:rFonts w:ascii="Calibri" w:eastAsia="Calibri" w:hAnsi="Calibri" w:cs="Times New Roman"/>
          <w:w w:val="105"/>
          <w:sz w:val="20"/>
          <w:szCs w:val="20"/>
        </w:rPr>
        <w:t>.</w:t>
      </w:r>
    </w:p>
    <w:p w14:paraId="3B88DD4F" w14:textId="77777777" w:rsidR="00B1027A" w:rsidRDefault="00B1027A" w:rsidP="00C52B21">
      <w:pPr>
        <w:rPr>
          <w:b/>
          <w:bCs/>
        </w:rPr>
      </w:pPr>
    </w:p>
    <w:p w14:paraId="33A176C9" w14:textId="77777777" w:rsidR="000A2D1A" w:rsidRDefault="000A2D1A" w:rsidP="00C52B21">
      <w:pPr>
        <w:rPr>
          <w:b/>
          <w:bCs/>
        </w:rPr>
      </w:pPr>
    </w:p>
    <w:p w14:paraId="09C71FFC" w14:textId="77777777" w:rsidR="000A2D1A" w:rsidRDefault="000A2D1A" w:rsidP="000A2D1A">
      <w:pPr>
        <w:pStyle w:val="Overskrift"/>
      </w:pPr>
      <w:proofErr w:type="spellStart"/>
      <w:r>
        <w:lastRenderedPageBreak/>
        <w:t>Indholdsfortegnelse</w:t>
      </w:r>
      <w:proofErr w:type="spellEnd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/>
        </w:rPr>
        <w:id w:val="-18027591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B12989" w14:textId="51A1194F" w:rsidR="00B1027A" w:rsidRDefault="00B1027A">
          <w:pPr>
            <w:pStyle w:val="Overskrift"/>
          </w:pPr>
        </w:p>
        <w:p w14:paraId="03853118" w14:textId="2635DA97" w:rsidR="00EC5E70" w:rsidRDefault="00B1027A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r>
            <w:fldChar w:fldCharType="begin"/>
          </w:r>
          <w:r w:rsidRPr="006D3808">
            <w:instrText xml:space="preserve"> TOC \o "1-3" \h \z \u </w:instrText>
          </w:r>
          <w:r>
            <w:fldChar w:fldCharType="separate"/>
          </w:r>
          <w:hyperlink w:anchor="_Toc161921294" w:history="1">
            <w:r w:rsidR="00EC5E70" w:rsidRPr="00243B6E">
              <w:rPr>
                <w:rStyle w:val="Hyperlink"/>
                <w:noProof/>
              </w:rPr>
              <w:t>Indikation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_Toc161921294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3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27B924E3" w14:textId="2E167FB4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295" w:history="1">
            <w:r w:rsidR="00EC5E70" w:rsidRPr="00243B6E">
              <w:rPr>
                <w:rStyle w:val="Hyperlink"/>
                <w:noProof/>
              </w:rPr>
              <w:t>Kontraindikationer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_Toc161921295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3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04C8D0AA" w14:textId="230C680F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296" w:history="1">
            <w:r w:rsidR="00EC5E70" w:rsidRPr="00243B6E">
              <w:rPr>
                <w:rStyle w:val="Hyperlink"/>
                <w:noProof/>
              </w:rPr>
              <w:t xml:space="preserve">Dosering </w:t>
            </w:r>
            <w:r w:rsidR="00EC5E70" w:rsidRPr="00243B6E">
              <w:rPr>
                <w:rStyle w:val="Hyperlink"/>
                <w:noProof/>
                <w:vertAlign w:val="superscript"/>
              </w:rPr>
              <w:t>1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_Toc161921296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3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26F9C614" w14:textId="410BCC37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297" w:history="1">
            <w:r w:rsidR="00EC5E70" w:rsidRPr="00243B6E">
              <w:rPr>
                <w:rStyle w:val="Hyperlink"/>
                <w:noProof/>
              </w:rPr>
              <w:t>Særlige patientgrupper med potentielt øget risiko for blødning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_Toc161921297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5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5730A935" w14:textId="12528EDC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298" w:history="1">
            <w:r w:rsidR="00EC5E70" w:rsidRPr="00243B6E">
              <w:rPr>
                <w:rStyle w:val="Hyperlink"/>
                <w:noProof/>
              </w:rPr>
              <w:t>Perioperativ behandling af antikoagulation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_Toc161921298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7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00D83C16" w14:textId="54B7B764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299" w:history="1">
            <w:r w:rsidR="00EC5E70" w:rsidRPr="00243B6E">
              <w:rPr>
                <w:rStyle w:val="Hyperlink"/>
                <w:noProof/>
              </w:rPr>
              <w:t>Koagulationsprøver og fortolkningen heraf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_Toc161921299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8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0285C5B4" w14:textId="5257EAB3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300" w:history="1">
            <w:r w:rsidR="00EC5E70" w:rsidRPr="00243B6E">
              <w:rPr>
                <w:rStyle w:val="Hyperlink"/>
                <w:noProof/>
              </w:rPr>
              <w:t>Overdosis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_Toc161921300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9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60FE3639" w14:textId="2FA51672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301" w:history="1">
            <w:r w:rsidR="00EC5E70" w:rsidRPr="00243B6E">
              <w:rPr>
                <w:rStyle w:val="Hyperlink"/>
                <w:noProof/>
              </w:rPr>
              <w:t>Behandling af blødningskomplikationer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_Toc161921301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9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13731804" w14:textId="1F59A561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302" w:history="1">
            <w:r w:rsidR="00EC5E70" w:rsidRPr="00243B6E">
              <w:rPr>
                <w:rStyle w:val="Hyperlink"/>
                <w:noProof/>
              </w:rPr>
              <w:t>Patientkort og patientrådgivning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_Toc161921302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10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416CFA84" w14:textId="090ECA3C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303" w:history="1">
            <w:r w:rsidR="00EC5E70" w:rsidRPr="00243B6E">
              <w:rPr>
                <w:rStyle w:val="Hyperlink"/>
                <w:rFonts w:asciiTheme="majorHAnsi" w:eastAsiaTheme="majorEastAsia" w:hAnsiTheme="majorHAnsi" w:cstheme="majorBidi"/>
                <w:noProof/>
              </w:rPr>
              <w:t>Indberetning af bivirkninger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_Toc161921303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10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0CD3621D" w14:textId="298F7425" w:rsidR="00EC5E70" w:rsidRDefault="00FF762D">
          <w:pPr>
            <w:pStyle w:val="Indholdsfortegnelse1"/>
            <w:tabs>
              <w:tab w:val="right" w:leader="dot" w:pos="9062"/>
            </w:tabs>
            <w:rPr>
              <w:rFonts w:eastAsiaTheme="minorEastAsia"/>
              <w:noProof/>
              <w:lang w:val="da-DK" w:eastAsia="da-DK"/>
            </w:rPr>
          </w:pPr>
          <w:hyperlink w:anchor="_Toc161921304" w:history="1">
            <w:r w:rsidR="00EC5E70" w:rsidRPr="00243B6E">
              <w:rPr>
                <w:rStyle w:val="Hyperlink"/>
                <w:noProof/>
              </w:rPr>
              <w:t>Referencer</w:t>
            </w:r>
            <w:r w:rsidR="00EC5E70">
              <w:rPr>
                <w:noProof/>
                <w:webHidden/>
              </w:rPr>
              <w:tab/>
            </w:r>
            <w:r w:rsidR="00EC5E70">
              <w:rPr>
                <w:noProof/>
                <w:webHidden/>
              </w:rPr>
              <w:fldChar w:fldCharType="begin"/>
            </w:r>
            <w:r w:rsidR="00EC5E70">
              <w:rPr>
                <w:noProof/>
                <w:webHidden/>
              </w:rPr>
              <w:instrText xml:space="preserve"> PAGEREF _Toc161921304 \h </w:instrText>
            </w:r>
            <w:r w:rsidR="00EC5E70">
              <w:rPr>
                <w:noProof/>
                <w:webHidden/>
              </w:rPr>
            </w:r>
            <w:r w:rsidR="00EC5E70">
              <w:rPr>
                <w:noProof/>
                <w:webHidden/>
              </w:rPr>
              <w:fldChar w:fldCharType="separate"/>
            </w:r>
            <w:r w:rsidR="00EC5E70">
              <w:rPr>
                <w:noProof/>
                <w:webHidden/>
              </w:rPr>
              <w:t>11</w:t>
            </w:r>
            <w:r w:rsidR="00EC5E70">
              <w:rPr>
                <w:noProof/>
                <w:webHidden/>
              </w:rPr>
              <w:fldChar w:fldCharType="end"/>
            </w:r>
          </w:hyperlink>
        </w:p>
        <w:p w14:paraId="2A9343D6" w14:textId="2EA36FEA" w:rsidR="00B1027A" w:rsidRPr="006D3808" w:rsidRDefault="00B1027A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E1CF213" w14:textId="077F6FF0" w:rsidR="00C52B21" w:rsidRPr="006D3808" w:rsidRDefault="00C52B21">
      <w:pPr>
        <w:rPr>
          <w:lang w:val="en-US"/>
        </w:rPr>
      </w:pPr>
    </w:p>
    <w:p w14:paraId="46B95BAA" w14:textId="77777777" w:rsidR="00C52B21" w:rsidRPr="006D3808" w:rsidRDefault="00C52B21" w:rsidP="00C52B21">
      <w:pPr>
        <w:rPr>
          <w:lang w:val="en-US"/>
        </w:rPr>
      </w:pPr>
    </w:p>
    <w:p w14:paraId="16A59373" w14:textId="77777777" w:rsidR="00B1027A" w:rsidRPr="006D3808" w:rsidRDefault="00B1027A" w:rsidP="00C52B21">
      <w:pPr>
        <w:rPr>
          <w:b/>
          <w:bCs/>
          <w:lang w:val="en-US"/>
        </w:rPr>
      </w:pPr>
    </w:p>
    <w:p w14:paraId="5A6FAF58" w14:textId="77777777" w:rsidR="003D39F1" w:rsidRDefault="003D39F1" w:rsidP="00C52B21"/>
    <w:p w14:paraId="58E5D6D8" w14:textId="77777777" w:rsidR="003D39F1" w:rsidRDefault="003D39F1" w:rsidP="00C52B21"/>
    <w:p w14:paraId="56462680" w14:textId="77777777" w:rsidR="003D39F1" w:rsidRDefault="003D39F1" w:rsidP="00C52B21"/>
    <w:p w14:paraId="189B72F1" w14:textId="77777777" w:rsidR="003D39F1" w:rsidRDefault="003D39F1" w:rsidP="00C52B21"/>
    <w:p w14:paraId="6230BD3C" w14:textId="77777777" w:rsidR="003D39F1" w:rsidRDefault="003D39F1" w:rsidP="00C52B21"/>
    <w:p w14:paraId="479215F7" w14:textId="77777777" w:rsidR="003D39F1" w:rsidRDefault="003D39F1" w:rsidP="00C52B21"/>
    <w:p w14:paraId="0000E9C2" w14:textId="77777777" w:rsidR="003D39F1" w:rsidRDefault="003D39F1" w:rsidP="00C52B21"/>
    <w:p w14:paraId="2E97787D" w14:textId="77777777" w:rsidR="003D39F1" w:rsidRDefault="003D39F1" w:rsidP="00C52B21"/>
    <w:p w14:paraId="16CDFAF1" w14:textId="77777777" w:rsidR="003D39F1" w:rsidRDefault="003D39F1" w:rsidP="00C52B21"/>
    <w:p w14:paraId="1896B5F2" w14:textId="77777777" w:rsidR="003D39F1" w:rsidRDefault="003D39F1" w:rsidP="00C52B21"/>
    <w:p w14:paraId="0EDA95BE" w14:textId="551D084E" w:rsidR="00B1027A" w:rsidRPr="006D3808" w:rsidRDefault="00ED0C0B" w:rsidP="00C52B21">
      <w:r w:rsidRPr="00ED0C0B">
        <w:t xml:space="preserve">Denne </w:t>
      </w:r>
      <w:proofErr w:type="spellStart"/>
      <w:r w:rsidRPr="00ED0C0B">
        <w:t>vejledning</w:t>
      </w:r>
      <w:proofErr w:type="spellEnd"/>
      <w:r w:rsidRPr="00ED0C0B">
        <w:t xml:space="preserve"> </w:t>
      </w:r>
      <w:proofErr w:type="spellStart"/>
      <w:r w:rsidRPr="00ED0C0B">
        <w:t>indeholder</w:t>
      </w:r>
      <w:proofErr w:type="spellEnd"/>
      <w:r w:rsidRPr="00ED0C0B">
        <w:t xml:space="preserve"> </w:t>
      </w:r>
      <w:proofErr w:type="spellStart"/>
      <w:r w:rsidRPr="00ED0C0B">
        <w:t>anbefalinger</w:t>
      </w:r>
      <w:proofErr w:type="spellEnd"/>
      <w:r w:rsidRPr="00ED0C0B">
        <w:t xml:space="preserve"> </w:t>
      </w:r>
      <w:proofErr w:type="spellStart"/>
      <w:r w:rsidRPr="00ED0C0B">
        <w:t>til</w:t>
      </w:r>
      <w:proofErr w:type="spellEnd"/>
      <w:r w:rsidRPr="00ED0C0B">
        <w:t xml:space="preserve"> at </w:t>
      </w:r>
      <w:proofErr w:type="spellStart"/>
      <w:r w:rsidRPr="00ED0C0B">
        <w:t>reducere</w:t>
      </w:r>
      <w:proofErr w:type="spellEnd"/>
      <w:r w:rsidRPr="00ED0C0B">
        <w:t xml:space="preserve"> </w:t>
      </w:r>
      <w:proofErr w:type="spellStart"/>
      <w:r w:rsidRPr="00ED0C0B">
        <w:t>risikoen</w:t>
      </w:r>
      <w:proofErr w:type="spellEnd"/>
      <w:r w:rsidRPr="00ED0C0B">
        <w:t xml:space="preserve"> </w:t>
      </w:r>
      <w:proofErr w:type="spellStart"/>
      <w:r w:rsidRPr="00ED0C0B">
        <w:t>for</w:t>
      </w:r>
      <w:proofErr w:type="spellEnd"/>
      <w:r w:rsidRPr="00ED0C0B">
        <w:t xml:space="preserve"> </w:t>
      </w:r>
      <w:proofErr w:type="spellStart"/>
      <w:r w:rsidRPr="00ED0C0B">
        <w:t>blødning</w:t>
      </w:r>
      <w:proofErr w:type="spellEnd"/>
      <w:r w:rsidRPr="00ED0C0B">
        <w:t xml:space="preserve"> </w:t>
      </w:r>
      <w:proofErr w:type="spellStart"/>
      <w:r w:rsidRPr="00ED0C0B">
        <w:t>ved</w:t>
      </w:r>
      <w:proofErr w:type="spellEnd"/>
      <w:r w:rsidRPr="00ED0C0B">
        <w:t xml:space="preserve"> </w:t>
      </w:r>
      <w:proofErr w:type="spellStart"/>
      <w:r w:rsidRPr="00ED0C0B">
        <w:t>anvendelsen</w:t>
      </w:r>
      <w:proofErr w:type="spellEnd"/>
      <w:r w:rsidRPr="00ED0C0B">
        <w:t xml:space="preserve"> </w:t>
      </w:r>
      <w:proofErr w:type="spellStart"/>
      <w:r w:rsidRPr="00ED0C0B">
        <w:t>af</w:t>
      </w:r>
      <w:proofErr w:type="spellEnd"/>
      <w:r w:rsidRPr="00ED0C0B">
        <w:t xml:space="preserve"> </w:t>
      </w:r>
      <w:proofErr w:type="spellStart"/>
      <w:r w:rsidRPr="00ED0C0B">
        <w:t>dabigatranetexilat</w:t>
      </w:r>
      <w:proofErr w:type="spellEnd"/>
      <w:r w:rsidR="00855351" w:rsidRPr="006D3808">
        <w:t>.</w:t>
      </w:r>
    </w:p>
    <w:p w14:paraId="3EF60408" w14:textId="38BD6E36" w:rsidR="00C52B21" w:rsidRPr="00C52B21" w:rsidRDefault="00C52B21" w:rsidP="00C52B21">
      <w:pPr>
        <w:rPr>
          <w:b/>
          <w:bCs/>
        </w:rPr>
      </w:pPr>
      <w:proofErr w:type="spellStart"/>
      <w:r w:rsidRPr="00C52B21">
        <w:rPr>
          <w:b/>
          <w:bCs/>
        </w:rPr>
        <w:t>Følg</w:t>
      </w:r>
      <w:proofErr w:type="spellEnd"/>
      <w:r w:rsidRPr="00C52B21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disse</w:t>
      </w:r>
      <w:proofErr w:type="spellEnd"/>
      <w:r w:rsidRPr="00C52B21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sikkerhedsinstruktioner</w:t>
      </w:r>
      <w:proofErr w:type="spellEnd"/>
      <w:r w:rsidRPr="00C52B21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ud</w:t>
      </w:r>
      <w:proofErr w:type="spellEnd"/>
      <w:r w:rsidRPr="00C52B21">
        <w:rPr>
          <w:b/>
          <w:bCs/>
        </w:rPr>
        <w:t xml:space="preserve"> </w:t>
      </w:r>
      <w:proofErr w:type="spellStart"/>
      <w:r w:rsidRPr="00C52B21">
        <w:rPr>
          <w:b/>
          <w:bCs/>
        </w:rPr>
        <w:t>over</w:t>
      </w:r>
      <w:proofErr w:type="spellEnd"/>
      <w:r w:rsidRPr="00C52B21">
        <w:rPr>
          <w:b/>
          <w:bCs/>
        </w:rPr>
        <w:t xml:space="preserve"> </w:t>
      </w:r>
      <w:proofErr w:type="spellStart"/>
      <w:proofErr w:type="gramStart"/>
      <w:r w:rsidRPr="00C52B21">
        <w:rPr>
          <w:b/>
          <w:bCs/>
        </w:rPr>
        <w:t>produktresumé</w:t>
      </w:r>
      <w:proofErr w:type="spellEnd"/>
      <w:r w:rsidRPr="00C52B21">
        <w:rPr>
          <w:b/>
          <w:bCs/>
        </w:rPr>
        <w:t xml:space="preserve">  </w:t>
      </w:r>
      <w:r w:rsidRPr="00A62A41">
        <w:rPr>
          <w:b/>
          <w:bCs/>
          <w:vertAlign w:val="superscript"/>
        </w:rPr>
        <w:t>1</w:t>
      </w:r>
      <w:proofErr w:type="gramEnd"/>
    </w:p>
    <w:p w14:paraId="76910453" w14:textId="77777777" w:rsidR="003D39F1" w:rsidRDefault="003D39F1">
      <w:pPr>
        <w:rPr>
          <w:rStyle w:val="Overskrift1Tegn"/>
        </w:rPr>
      </w:pPr>
      <w:r>
        <w:rPr>
          <w:rStyle w:val="Overskrift1Tegn"/>
        </w:rPr>
        <w:br w:type="page"/>
      </w:r>
    </w:p>
    <w:p w14:paraId="24E9D65F" w14:textId="1710B233" w:rsidR="00C52B21" w:rsidRPr="00BB5616" w:rsidRDefault="00C52B21" w:rsidP="00C52B21">
      <w:pPr>
        <w:rPr>
          <w:b/>
          <w:bCs/>
          <w:sz w:val="28"/>
          <w:szCs w:val="28"/>
        </w:rPr>
      </w:pPr>
      <w:bookmarkStart w:id="2" w:name="_Toc161921294"/>
      <w:r w:rsidRPr="006D3808">
        <w:rPr>
          <w:rStyle w:val="Overskrift1Tegn"/>
        </w:rPr>
        <w:lastRenderedPageBreak/>
        <w:t>Indikation</w:t>
      </w:r>
      <w:bookmarkEnd w:id="2"/>
      <w:r w:rsidRPr="00BB5616">
        <w:rPr>
          <w:b/>
          <w:bCs/>
          <w:sz w:val="28"/>
          <w:szCs w:val="28"/>
          <w:vertAlign w:val="superscript"/>
        </w:rPr>
        <w:t>1</w:t>
      </w:r>
    </w:p>
    <w:p w14:paraId="3365C009" w14:textId="714C8536" w:rsidR="00C52B21" w:rsidRDefault="009C76CA" w:rsidP="00C52B21">
      <w:proofErr w:type="spellStart"/>
      <w:r w:rsidRPr="009C76CA">
        <w:t>Primær</w:t>
      </w:r>
      <w:proofErr w:type="spellEnd"/>
      <w:r w:rsidRPr="009C76CA">
        <w:t xml:space="preserve"> </w:t>
      </w:r>
      <w:proofErr w:type="spellStart"/>
      <w:r w:rsidRPr="009C76CA">
        <w:t>forebyggelse</w:t>
      </w:r>
      <w:proofErr w:type="spellEnd"/>
      <w:r w:rsidRPr="009C76CA">
        <w:t xml:space="preserve"> </w:t>
      </w:r>
      <w:proofErr w:type="spellStart"/>
      <w:r w:rsidRPr="009C76CA">
        <w:t>af</w:t>
      </w:r>
      <w:proofErr w:type="spellEnd"/>
      <w:r w:rsidRPr="009C76CA">
        <w:t xml:space="preserve"> </w:t>
      </w:r>
      <w:proofErr w:type="spellStart"/>
      <w:r w:rsidRPr="009C76CA">
        <w:t>venøse</w:t>
      </w:r>
      <w:proofErr w:type="spellEnd"/>
      <w:r w:rsidRPr="009C76CA">
        <w:t xml:space="preserve"> </w:t>
      </w:r>
      <w:proofErr w:type="spellStart"/>
      <w:r w:rsidRPr="009C76CA">
        <w:t>tromboemboliske</w:t>
      </w:r>
      <w:proofErr w:type="spellEnd"/>
      <w:r w:rsidRPr="009C76CA">
        <w:t xml:space="preserve"> </w:t>
      </w:r>
      <w:proofErr w:type="spellStart"/>
      <w:r w:rsidRPr="009C76CA">
        <w:t>hændelser</w:t>
      </w:r>
      <w:proofErr w:type="spellEnd"/>
      <w:r w:rsidRPr="009C76CA">
        <w:t xml:space="preserve"> </w:t>
      </w:r>
      <w:proofErr w:type="spellStart"/>
      <w:r w:rsidRPr="009C76CA">
        <w:t>hos</w:t>
      </w:r>
      <w:proofErr w:type="spellEnd"/>
      <w:r w:rsidRPr="009C76CA">
        <w:t xml:space="preserve"> </w:t>
      </w:r>
      <w:proofErr w:type="spellStart"/>
      <w:r w:rsidRPr="009C76CA">
        <w:t>voksne</w:t>
      </w:r>
      <w:proofErr w:type="spellEnd"/>
      <w:r w:rsidRPr="009C76CA">
        <w:t xml:space="preserve"> </w:t>
      </w:r>
      <w:proofErr w:type="spellStart"/>
      <w:r w:rsidRPr="009C76CA">
        <w:t>patienter</w:t>
      </w:r>
      <w:proofErr w:type="spellEnd"/>
      <w:r w:rsidRPr="009C76CA">
        <w:t xml:space="preserve"> </w:t>
      </w:r>
      <w:proofErr w:type="spellStart"/>
      <w:r w:rsidRPr="009C76CA">
        <w:t>efter</w:t>
      </w:r>
      <w:proofErr w:type="spellEnd"/>
      <w:r w:rsidRPr="009C76CA">
        <w:t xml:space="preserve"> elektiv </w:t>
      </w:r>
      <w:proofErr w:type="spellStart"/>
      <w:r w:rsidRPr="009C76CA">
        <w:t>kirurgisk</w:t>
      </w:r>
      <w:proofErr w:type="spellEnd"/>
      <w:r w:rsidRPr="009C76CA">
        <w:t xml:space="preserve"> </w:t>
      </w:r>
      <w:proofErr w:type="spellStart"/>
      <w:r w:rsidRPr="009C76CA">
        <w:t>hofte</w:t>
      </w:r>
      <w:proofErr w:type="spellEnd"/>
      <w:r w:rsidRPr="009C76CA">
        <w:t xml:space="preserve">- </w:t>
      </w:r>
      <w:proofErr w:type="spellStart"/>
      <w:r w:rsidRPr="009C76CA">
        <w:t>eller</w:t>
      </w:r>
      <w:proofErr w:type="spellEnd"/>
      <w:r w:rsidRPr="009C76CA">
        <w:t xml:space="preserve"> </w:t>
      </w:r>
      <w:proofErr w:type="spellStart"/>
      <w:r w:rsidRPr="009C76CA">
        <w:t>knæalloplastik</w:t>
      </w:r>
      <w:proofErr w:type="spellEnd"/>
      <w:r w:rsidRPr="009C76CA">
        <w:t>.</w:t>
      </w:r>
    </w:p>
    <w:p w14:paraId="14295B56" w14:textId="77777777" w:rsidR="009C76CA" w:rsidRDefault="009C76CA" w:rsidP="00C52B21">
      <w:pPr>
        <w:rPr>
          <w:b/>
          <w:bCs/>
          <w:sz w:val="28"/>
          <w:szCs w:val="28"/>
        </w:rPr>
      </w:pPr>
    </w:p>
    <w:p w14:paraId="6CAAAFAE" w14:textId="6B46BF64" w:rsidR="00C52B21" w:rsidRPr="00BB5616" w:rsidRDefault="00C52B21" w:rsidP="00C52B21">
      <w:pPr>
        <w:rPr>
          <w:b/>
          <w:bCs/>
          <w:sz w:val="28"/>
          <w:szCs w:val="28"/>
        </w:rPr>
      </w:pPr>
      <w:bookmarkStart w:id="3" w:name="_Toc161921295"/>
      <w:r w:rsidRPr="006D3808">
        <w:rPr>
          <w:rStyle w:val="Overskrift1Tegn"/>
        </w:rPr>
        <w:t>Kontraindikationer</w:t>
      </w:r>
      <w:bookmarkEnd w:id="3"/>
      <w:r w:rsidRPr="00BB5616">
        <w:rPr>
          <w:b/>
          <w:bCs/>
          <w:sz w:val="28"/>
          <w:szCs w:val="28"/>
          <w:vertAlign w:val="superscript"/>
        </w:rPr>
        <w:t>1</w:t>
      </w:r>
    </w:p>
    <w:p w14:paraId="6B22A5BD" w14:textId="50E58CB3" w:rsidR="00C52B21" w:rsidRDefault="007B60F3" w:rsidP="00C52B21">
      <w:r>
        <w:t xml:space="preserve">• </w:t>
      </w:r>
      <w:proofErr w:type="spellStart"/>
      <w:r>
        <w:t>Overfølsomhed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</w:t>
      </w:r>
      <w:r w:rsidR="00A75500">
        <w:t>t</w:t>
      </w:r>
      <w:proofErr w:type="spellEnd"/>
      <w:r>
        <w:t xml:space="preserve"> aktive </w:t>
      </w:r>
      <w:proofErr w:type="spellStart"/>
      <w:r w:rsidR="00A75500">
        <w:t>stof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andre </w:t>
      </w:r>
      <w:proofErr w:type="spellStart"/>
      <w:r>
        <w:t>indholdsstoffer</w:t>
      </w:r>
      <w:proofErr w:type="spellEnd"/>
    </w:p>
    <w:p w14:paraId="2B3D237F" w14:textId="4FFDAE30" w:rsidR="00C52B21" w:rsidRDefault="007B60F3" w:rsidP="00C52B21">
      <w:r>
        <w:t xml:space="preserve">• </w:t>
      </w:r>
      <w:proofErr w:type="spellStart"/>
      <w:r>
        <w:t>Svært</w:t>
      </w:r>
      <w:proofErr w:type="spellEnd"/>
      <w:r>
        <w:t xml:space="preserve"> </w:t>
      </w:r>
      <w:proofErr w:type="spellStart"/>
      <w:r>
        <w:t>nedsat</w:t>
      </w:r>
      <w:proofErr w:type="spellEnd"/>
      <w:r>
        <w:t xml:space="preserve"> </w:t>
      </w:r>
      <w:proofErr w:type="spellStart"/>
      <w:r>
        <w:t>nyrefunktion</w:t>
      </w:r>
      <w:proofErr w:type="spellEnd"/>
      <w:r>
        <w:t xml:space="preserve"> (</w:t>
      </w:r>
      <w:proofErr w:type="spellStart"/>
      <w:r>
        <w:t>CrCl</w:t>
      </w:r>
      <w:proofErr w:type="spellEnd"/>
      <w:r>
        <w:t xml:space="preserve"> &lt; 30 ml/min)</w:t>
      </w:r>
    </w:p>
    <w:p w14:paraId="63877EE6" w14:textId="58652745" w:rsidR="00C52B21" w:rsidRDefault="007B60F3" w:rsidP="00C52B21">
      <w:r>
        <w:t xml:space="preserve">• Akut, </w:t>
      </w:r>
      <w:proofErr w:type="spellStart"/>
      <w:r>
        <w:t>klinisk</w:t>
      </w:r>
      <w:proofErr w:type="spellEnd"/>
      <w:r>
        <w:t xml:space="preserve"> relevant </w:t>
      </w:r>
      <w:proofErr w:type="spellStart"/>
      <w:r>
        <w:t>blødning</w:t>
      </w:r>
      <w:proofErr w:type="spellEnd"/>
    </w:p>
    <w:p w14:paraId="601C2D7F" w14:textId="12939DB7" w:rsidR="00C52B21" w:rsidRDefault="007B60F3" w:rsidP="00C52B21">
      <w:r>
        <w:t xml:space="preserve">• </w:t>
      </w:r>
      <w:proofErr w:type="spellStart"/>
      <w:r>
        <w:t>Læsioner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kliniske</w:t>
      </w:r>
      <w:proofErr w:type="spellEnd"/>
      <w:r>
        <w:t xml:space="preserve"> </w:t>
      </w:r>
      <w:proofErr w:type="spellStart"/>
      <w:r>
        <w:t>situationer</w:t>
      </w:r>
      <w:proofErr w:type="spellEnd"/>
      <w:r>
        <w:t xml:space="preserve">, der </w:t>
      </w:r>
      <w:proofErr w:type="spellStart"/>
      <w:r>
        <w:t>betragtes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en </w:t>
      </w:r>
      <w:proofErr w:type="spellStart"/>
      <w:r>
        <w:t>væsentlig</w:t>
      </w:r>
      <w:proofErr w:type="spellEnd"/>
      <w:r>
        <w:t xml:space="preserve"> </w:t>
      </w:r>
      <w:proofErr w:type="spellStart"/>
      <w:r>
        <w:t>risikofaktor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større</w:t>
      </w:r>
      <w:proofErr w:type="spellEnd"/>
      <w:r>
        <w:t xml:space="preserve"> </w:t>
      </w:r>
      <w:proofErr w:type="spellStart"/>
      <w:r>
        <w:t>blødninger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f.eks</w:t>
      </w:r>
      <w:proofErr w:type="spellEnd"/>
      <w:r>
        <w:t xml:space="preserve">. </w:t>
      </w:r>
      <w:proofErr w:type="spellStart"/>
      <w:r>
        <w:t>være</w:t>
      </w:r>
      <w:proofErr w:type="spellEnd"/>
      <w:r>
        <w:t>:</w:t>
      </w:r>
    </w:p>
    <w:p w14:paraId="340A4937" w14:textId="77777777" w:rsidR="00C52B21" w:rsidRDefault="00C52B21" w:rsidP="00C52B21">
      <w:r>
        <w:t xml:space="preserve">− akut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nylig</w:t>
      </w:r>
      <w:proofErr w:type="spellEnd"/>
      <w:r>
        <w:t xml:space="preserve"> gastrointestinal </w:t>
      </w:r>
      <w:proofErr w:type="spellStart"/>
      <w:r>
        <w:t>ulceration</w:t>
      </w:r>
      <w:proofErr w:type="spellEnd"/>
    </w:p>
    <w:p w14:paraId="09A781ED" w14:textId="77777777" w:rsidR="00C52B21" w:rsidRDefault="00C52B21" w:rsidP="00C52B21">
      <w:r>
        <w:t xml:space="preserve">− </w:t>
      </w:r>
      <w:proofErr w:type="spellStart"/>
      <w:r>
        <w:t>ondartede</w:t>
      </w:r>
      <w:proofErr w:type="spellEnd"/>
      <w:r>
        <w:t xml:space="preserve"> </w:t>
      </w:r>
      <w:proofErr w:type="spellStart"/>
      <w:r>
        <w:t>neoplasmer</w:t>
      </w:r>
      <w:proofErr w:type="spellEnd"/>
      <w:r>
        <w:t xml:space="preserve"> med </w:t>
      </w:r>
      <w:proofErr w:type="spellStart"/>
      <w:r>
        <w:t>høj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blødning</w:t>
      </w:r>
      <w:proofErr w:type="spellEnd"/>
    </w:p>
    <w:p w14:paraId="7A300463" w14:textId="77777777" w:rsidR="00C52B21" w:rsidRDefault="00C52B21" w:rsidP="00C52B21">
      <w:r>
        <w:t xml:space="preserve">− </w:t>
      </w:r>
      <w:proofErr w:type="spellStart"/>
      <w:r>
        <w:t>nylige</w:t>
      </w:r>
      <w:proofErr w:type="spellEnd"/>
      <w:r>
        <w:t xml:space="preserve"> </w:t>
      </w:r>
      <w:proofErr w:type="spellStart"/>
      <w:r>
        <w:t>hjerne</w:t>
      </w:r>
      <w:proofErr w:type="spellEnd"/>
      <w:r>
        <w:t xml:space="preserve">-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rygmarvsskader</w:t>
      </w:r>
      <w:proofErr w:type="spellEnd"/>
    </w:p>
    <w:p w14:paraId="1F253903" w14:textId="77777777" w:rsidR="00C52B21" w:rsidRDefault="00C52B21" w:rsidP="00C52B21">
      <w:r>
        <w:t xml:space="preserve">− </w:t>
      </w:r>
      <w:proofErr w:type="spellStart"/>
      <w:r>
        <w:t>nylig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i </w:t>
      </w:r>
      <w:proofErr w:type="spellStart"/>
      <w:r>
        <w:t>hjernen</w:t>
      </w:r>
      <w:proofErr w:type="spellEnd"/>
      <w:r>
        <w:t xml:space="preserve">, </w:t>
      </w:r>
      <w:proofErr w:type="spellStart"/>
      <w:r>
        <w:t>rygmarven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øjnene</w:t>
      </w:r>
      <w:proofErr w:type="spellEnd"/>
    </w:p>
    <w:p w14:paraId="7208E30E" w14:textId="77777777" w:rsidR="00C52B21" w:rsidRDefault="00C52B21" w:rsidP="00C52B21">
      <w:r>
        <w:t xml:space="preserve">− </w:t>
      </w:r>
      <w:proofErr w:type="spellStart"/>
      <w:r>
        <w:t>nylig</w:t>
      </w:r>
      <w:proofErr w:type="spellEnd"/>
      <w:r>
        <w:t xml:space="preserve"> </w:t>
      </w:r>
      <w:proofErr w:type="spellStart"/>
      <w:r>
        <w:t>intrakraniel</w:t>
      </w:r>
      <w:proofErr w:type="spellEnd"/>
      <w:r>
        <w:t xml:space="preserve"> </w:t>
      </w:r>
      <w:proofErr w:type="spellStart"/>
      <w:r>
        <w:t>blødning</w:t>
      </w:r>
      <w:proofErr w:type="spellEnd"/>
    </w:p>
    <w:p w14:paraId="59FB8E6A" w14:textId="77777777" w:rsidR="00C52B21" w:rsidRDefault="00C52B21" w:rsidP="00C52B21">
      <w:r>
        <w:t xml:space="preserve">− </w:t>
      </w:r>
      <w:proofErr w:type="spellStart"/>
      <w:r>
        <w:t>kendte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mistænkte</w:t>
      </w:r>
      <w:proofErr w:type="spellEnd"/>
      <w:r>
        <w:t xml:space="preserve"> </w:t>
      </w:r>
      <w:proofErr w:type="spellStart"/>
      <w:r>
        <w:t>varicer</w:t>
      </w:r>
      <w:proofErr w:type="spellEnd"/>
      <w:r>
        <w:t xml:space="preserve"> i </w:t>
      </w:r>
      <w:proofErr w:type="spellStart"/>
      <w:r>
        <w:t>spiserøret</w:t>
      </w:r>
      <w:proofErr w:type="spellEnd"/>
    </w:p>
    <w:p w14:paraId="22935BF1" w14:textId="77777777" w:rsidR="00C52B21" w:rsidRDefault="00C52B21" w:rsidP="00C52B21">
      <w:r>
        <w:t xml:space="preserve">− </w:t>
      </w:r>
      <w:proofErr w:type="spellStart"/>
      <w:r>
        <w:t>arteriovenøse</w:t>
      </w:r>
      <w:proofErr w:type="spellEnd"/>
      <w:r>
        <w:t xml:space="preserve"> </w:t>
      </w:r>
      <w:proofErr w:type="spellStart"/>
      <w:r>
        <w:t>misdannelser</w:t>
      </w:r>
      <w:proofErr w:type="spellEnd"/>
    </w:p>
    <w:p w14:paraId="0A3AE174" w14:textId="77777777" w:rsidR="00C52B21" w:rsidRDefault="00C52B21" w:rsidP="00C52B21">
      <w:r>
        <w:t xml:space="preserve">− </w:t>
      </w:r>
      <w:proofErr w:type="spellStart"/>
      <w:r>
        <w:t>vaskulære</w:t>
      </w:r>
      <w:proofErr w:type="spellEnd"/>
      <w:r>
        <w:t xml:space="preserve"> </w:t>
      </w:r>
      <w:proofErr w:type="spellStart"/>
      <w:r>
        <w:t>aneurismer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større</w:t>
      </w:r>
      <w:proofErr w:type="spellEnd"/>
      <w:r>
        <w:t xml:space="preserve"> intraspinale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intracerebrale</w:t>
      </w:r>
      <w:proofErr w:type="spellEnd"/>
      <w:r>
        <w:t xml:space="preserve"> </w:t>
      </w:r>
      <w:proofErr w:type="spellStart"/>
      <w:r>
        <w:t>vaskulære</w:t>
      </w:r>
      <w:proofErr w:type="spellEnd"/>
      <w:r>
        <w:t xml:space="preserve"> </w:t>
      </w:r>
      <w:proofErr w:type="spellStart"/>
      <w:r>
        <w:t>abnormiteter</w:t>
      </w:r>
      <w:proofErr w:type="spellEnd"/>
    </w:p>
    <w:p w14:paraId="40C80797" w14:textId="3D66BF96" w:rsidR="00C52B21" w:rsidRDefault="00E1685D" w:rsidP="00C52B21">
      <w:r>
        <w:t xml:space="preserve">• </w:t>
      </w:r>
      <w:proofErr w:type="spellStart"/>
      <w:r>
        <w:t>Samtidig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med andre </w:t>
      </w:r>
      <w:proofErr w:type="spellStart"/>
      <w:r>
        <w:t>antikoagulantia</w:t>
      </w:r>
      <w:proofErr w:type="spellEnd"/>
      <w:r>
        <w:t xml:space="preserve">, </w:t>
      </w:r>
      <w:proofErr w:type="spellStart"/>
      <w:r>
        <w:t>f.eks</w:t>
      </w:r>
      <w:proofErr w:type="spellEnd"/>
      <w:r>
        <w:t>.</w:t>
      </w:r>
    </w:p>
    <w:p w14:paraId="54D8016C" w14:textId="77777777" w:rsidR="00C52B21" w:rsidRDefault="00C52B21" w:rsidP="00C52B21">
      <w:r>
        <w:t xml:space="preserve">− </w:t>
      </w:r>
      <w:proofErr w:type="spellStart"/>
      <w:r>
        <w:t>ufraktionerede</w:t>
      </w:r>
      <w:proofErr w:type="spellEnd"/>
      <w:r>
        <w:t xml:space="preserve"> </w:t>
      </w:r>
      <w:proofErr w:type="spellStart"/>
      <w:r>
        <w:t>hepariner</w:t>
      </w:r>
      <w:proofErr w:type="spellEnd"/>
    </w:p>
    <w:p w14:paraId="7DBB76B4" w14:textId="77777777" w:rsidR="00C52B21" w:rsidRDefault="00C52B21" w:rsidP="00C52B21">
      <w:r>
        <w:t xml:space="preserve">− </w:t>
      </w:r>
      <w:proofErr w:type="spellStart"/>
      <w:r>
        <w:t>hepariner</w:t>
      </w:r>
      <w:proofErr w:type="spellEnd"/>
      <w:r>
        <w:t xml:space="preserve"> med </w:t>
      </w:r>
      <w:proofErr w:type="spellStart"/>
      <w:r>
        <w:t>lav</w:t>
      </w:r>
      <w:proofErr w:type="spellEnd"/>
      <w:r>
        <w:t xml:space="preserve"> </w:t>
      </w:r>
      <w:proofErr w:type="spellStart"/>
      <w:r>
        <w:t>molekylvægt</w:t>
      </w:r>
      <w:proofErr w:type="spellEnd"/>
      <w:r>
        <w:t xml:space="preserve"> (</w:t>
      </w:r>
      <w:proofErr w:type="spellStart"/>
      <w:r>
        <w:t>enoxaparin</w:t>
      </w:r>
      <w:proofErr w:type="spellEnd"/>
      <w:r>
        <w:t xml:space="preserve">, </w:t>
      </w:r>
      <w:proofErr w:type="spellStart"/>
      <w:r>
        <w:t>dalteparin</w:t>
      </w:r>
      <w:proofErr w:type="spellEnd"/>
      <w:r>
        <w:t xml:space="preserve"> </w:t>
      </w:r>
      <w:proofErr w:type="spellStart"/>
      <w:r>
        <w:t>osv</w:t>
      </w:r>
      <w:proofErr w:type="spellEnd"/>
      <w:r>
        <w:t>.)</w:t>
      </w:r>
    </w:p>
    <w:p w14:paraId="1BC5DBDE" w14:textId="77777777" w:rsidR="00C52B21" w:rsidRDefault="00C52B21" w:rsidP="00C52B21">
      <w:r>
        <w:t xml:space="preserve">− </w:t>
      </w:r>
      <w:proofErr w:type="spellStart"/>
      <w:r>
        <w:t>Heparinderivater</w:t>
      </w:r>
      <w:proofErr w:type="spellEnd"/>
      <w:r>
        <w:t xml:space="preserve"> (</w:t>
      </w:r>
      <w:proofErr w:type="spellStart"/>
      <w:r>
        <w:t>fondaparinux</w:t>
      </w:r>
      <w:proofErr w:type="spellEnd"/>
      <w:r>
        <w:t>, etc.)</w:t>
      </w:r>
    </w:p>
    <w:p w14:paraId="10908C86" w14:textId="396B9E02" w:rsidR="00C52B21" w:rsidRDefault="00BC00BD" w:rsidP="00C52B21">
      <w:r>
        <w:t xml:space="preserve">− orale </w:t>
      </w:r>
      <w:proofErr w:type="spellStart"/>
      <w:r>
        <w:t>antikoagulantia</w:t>
      </w:r>
      <w:proofErr w:type="spellEnd"/>
      <w:r>
        <w:t xml:space="preserve"> (</w:t>
      </w:r>
      <w:proofErr w:type="spellStart"/>
      <w:r>
        <w:t>warfarin</w:t>
      </w:r>
      <w:proofErr w:type="spellEnd"/>
      <w:r>
        <w:t xml:space="preserve">, </w:t>
      </w:r>
      <w:proofErr w:type="spellStart"/>
      <w:r>
        <w:t>rivaroxaban</w:t>
      </w:r>
      <w:proofErr w:type="spellEnd"/>
      <w:r>
        <w:t xml:space="preserve">, </w:t>
      </w:r>
      <w:proofErr w:type="spellStart"/>
      <w:r>
        <w:t>apixaban</w:t>
      </w:r>
      <w:proofErr w:type="spellEnd"/>
      <w:r>
        <w:t xml:space="preserve"> </w:t>
      </w:r>
      <w:proofErr w:type="spellStart"/>
      <w:r>
        <w:t>osv</w:t>
      </w:r>
      <w:proofErr w:type="spellEnd"/>
      <w:r>
        <w:t xml:space="preserve">.), </w:t>
      </w:r>
      <w:proofErr w:type="spellStart"/>
      <w:r>
        <w:t>undtagen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særlige</w:t>
      </w:r>
      <w:proofErr w:type="spellEnd"/>
      <w:r>
        <w:t xml:space="preserve"> </w:t>
      </w:r>
      <w:proofErr w:type="spellStart"/>
      <w:r>
        <w:t>omstændigheder</w:t>
      </w:r>
      <w:proofErr w:type="spellEnd"/>
      <w:r>
        <w:t xml:space="preserve">. </w:t>
      </w:r>
      <w:proofErr w:type="spellStart"/>
      <w:r>
        <w:t>Disse</w:t>
      </w:r>
      <w:proofErr w:type="spellEnd"/>
      <w:r>
        <w:t xml:space="preserve"> </w:t>
      </w:r>
      <w:proofErr w:type="spellStart"/>
      <w:r>
        <w:t>omfatter</w:t>
      </w:r>
      <w:proofErr w:type="spellEnd"/>
      <w:r>
        <w:t xml:space="preserve"> </w:t>
      </w:r>
      <w:proofErr w:type="spellStart"/>
      <w:r>
        <w:t>skift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antikoagulantiabehandling</w:t>
      </w:r>
      <w:proofErr w:type="spellEnd"/>
      <w:r>
        <w:t xml:space="preserve">,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ufraktioneret</w:t>
      </w:r>
      <w:proofErr w:type="spellEnd"/>
      <w:r>
        <w:t xml:space="preserve"> </w:t>
      </w:r>
      <w:proofErr w:type="spellStart"/>
      <w:r>
        <w:t>heparin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i </w:t>
      </w:r>
      <w:proofErr w:type="spellStart"/>
      <w:r>
        <w:t>doser</w:t>
      </w:r>
      <w:proofErr w:type="spellEnd"/>
      <w:r>
        <w:t xml:space="preserve">, der er </w:t>
      </w:r>
      <w:proofErr w:type="spellStart"/>
      <w:r>
        <w:t>nødvendige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at </w:t>
      </w:r>
      <w:proofErr w:type="spellStart"/>
      <w:r>
        <w:t>opretholde</w:t>
      </w:r>
      <w:proofErr w:type="spellEnd"/>
      <w:r>
        <w:t xml:space="preserve"> </w:t>
      </w:r>
      <w:proofErr w:type="spellStart"/>
      <w:r>
        <w:t>patency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et </w:t>
      </w:r>
      <w:proofErr w:type="spellStart"/>
      <w:r>
        <w:t>centralt</w:t>
      </w:r>
      <w:proofErr w:type="spellEnd"/>
      <w:r>
        <w:t xml:space="preserve"> </w:t>
      </w:r>
      <w:proofErr w:type="spellStart"/>
      <w:r>
        <w:t>vene</w:t>
      </w:r>
      <w:proofErr w:type="spellEnd"/>
      <w:r>
        <w:t xml:space="preserve">-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arteriekateter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når</w:t>
      </w:r>
      <w:proofErr w:type="spellEnd"/>
      <w:r>
        <w:t xml:space="preserve"> </w:t>
      </w:r>
      <w:proofErr w:type="spellStart"/>
      <w:r>
        <w:t>ufraktioneret</w:t>
      </w:r>
      <w:proofErr w:type="spellEnd"/>
      <w:r>
        <w:t xml:space="preserve"> </w:t>
      </w:r>
      <w:proofErr w:type="spellStart"/>
      <w:r>
        <w:t>heparin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kateterablation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atrieflimren</w:t>
      </w:r>
      <w:proofErr w:type="spellEnd"/>
    </w:p>
    <w:p w14:paraId="146B9EFD" w14:textId="0A5E0D8D" w:rsidR="00C52B21" w:rsidRDefault="007B60F3" w:rsidP="00C52B21">
      <w:r>
        <w:t xml:space="preserve">• </w:t>
      </w:r>
      <w:proofErr w:type="spellStart"/>
      <w:r>
        <w:t>Nedsat</w:t>
      </w:r>
      <w:proofErr w:type="spellEnd"/>
      <w:r>
        <w:t xml:space="preserve"> </w:t>
      </w:r>
      <w:proofErr w:type="spellStart"/>
      <w:r>
        <w:t>leverfunktion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leversygdom</w:t>
      </w:r>
      <w:proofErr w:type="spellEnd"/>
      <w:r>
        <w:t xml:space="preserve">, der </w:t>
      </w:r>
      <w:proofErr w:type="spellStart"/>
      <w:r>
        <w:t>sandsynligvis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påvirke</w:t>
      </w:r>
      <w:proofErr w:type="spellEnd"/>
      <w:r>
        <w:t xml:space="preserve"> </w:t>
      </w:r>
      <w:proofErr w:type="spellStart"/>
      <w:r>
        <w:t>overlevelsen</w:t>
      </w:r>
      <w:proofErr w:type="spellEnd"/>
    </w:p>
    <w:p w14:paraId="5F676DD3" w14:textId="11538DE4" w:rsidR="00C52B21" w:rsidRDefault="007B60F3" w:rsidP="00C52B21">
      <w:r>
        <w:t xml:space="preserve">• </w:t>
      </w:r>
      <w:proofErr w:type="spellStart"/>
      <w:r>
        <w:t>Samtidig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med </w:t>
      </w:r>
      <w:proofErr w:type="spellStart"/>
      <w:r>
        <w:t>følgende</w:t>
      </w:r>
      <w:proofErr w:type="spellEnd"/>
      <w:r>
        <w:t xml:space="preserve"> potente P-</w:t>
      </w:r>
      <w:proofErr w:type="spellStart"/>
      <w:r>
        <w:t>glycoproteinhæmmere</w:t>
      </w:r>
      <w:proofErr w:type="spellEnd"/>
      <w:r>
        <w:t xml:space="preserve">: </w:t>
      </w:r>
      <w:proofErr w:type="spellStart"/>
      <w:r>
        <w:t>systemisk</w:t>
      </w:r>
      <w:proofErr w:type="spellEnd"/>
      <w:r>
        <w:t xml:space="preserve"> </w:t>
      </w:r>
      <w:proofErr w:type="spellStart"/>
      <w:r>
        <w:t>administreret</w:t>
      </w:r>
      <w:proofErr w:type="spellEnd"/>
      <w:r>
        <w:t xml:space="preserve"> </w:t>
      </w:r>
      <w:proofErr w:type="spellStart"/>
      <w:r>
        <w:t>ketoconazol</w:t>
      </w:r>
      <w:proofErr w:type="spellEnd"/>
      <w:r>
        <w:t xml:space="preserve">, </w:t>
      </w:r>
      <w:proofErr w:type="spellStart"/>
      <w:r>
        <w:t>ciclosporin</w:t>
      </w:r>
      <w:proofErr w:type="spellEnd"/>
      <w:r>
        <w:t xml:space="preserve">, </w:t>
      </w:r>
      <w:proofErr w:type="spellStart"/>
      <w:r>
        <w:t>itraconazol</w:t>
      </w:r>
      <w:proofErr w:type="spellEnd"/>
      <w:r>
        <w:t xml:space="preserve">, </w:t>
      </w:r>
      <w:proofErr w:type="spellStart"/>
      <w:r>
        <w:t>dronedaron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bookmarkStart w:id="4" w:name="_Hlk178930785"/>
      <w:proofErr w:type="spellStart"/>
      <w:r w:rsidR="00662337">
        <w:t>kombinationsprodukter</w:t>
      </w:r>
      <w:proofErr w:type="spellEnd"/>
      <w:r>
        <w:t xml:space="preserve"> </w:t>
      </w:r>
      <w:bookmarkEnd w:id="4"/>
      <w:proofErr w:type="spellStart"/>
      <w:r>
        <w:t>af</w:t>
      </w:r>
      <w:proofErr w:type="spellEnd"/>
      <w:r>
        <w:t xml:space="preserve"> </w:t>
      </w:r>
      <w:proofErr w:type="spellStart"/>
      <w:r>
        <w:t>glecaprevir</w:t>
      </w:r>
      <w:proofErr w:type="spellEnd"/>
      <w:r>
        <w:t>/</w:t>
      </w:r>
      <w:proofErr w:type="spellStart"/>
      <w:r>
        <w:t>pibrentasvir</w:t>
      </w:r>
      <w:proofErr w:type="spellEnd"/>
      <w:r>
        <w:t>.</w:t>
      </w:r>
    </w:p>
    <w:p w14:paraId="412DB059" w14:textId="11A1BD66" w:rsidR="00C52B21" w:rsidRDefault="007B60F3" w:rsidP="00C52B21">
      <w:r>
        <w:t xml:space="preserve">•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kunstige</w:t>
      </w:r>
      <w:proofErr w:type="spellEnd"/>
      <w:r>
        <w:t xml:space="preserve"> </w:t>
      </w:r>
      <w:proofErr w:type="spellStart"/>
      <w:r>
        <w:t>hjerteklapper</w:t>
      </w:r>
      <w:proofErr w:type="spellEnd"/>
      <w:r>
        <w:t xml:space="preserve">, der </w:t>
      </w:r>
      <w:proofErr w:type="spellStart"/>
      <w:r>
        <w:t>kræver</w:t>
      </w:r>
      <w:proofErr w:type="spellEnd"/>
      <w:r>
        <w:t xml:space="preserve"> </w:t>
      </w:r>
      <w:proofErr w:type="spellStart"/>
      <w:r>
        <w:t>antikoagulerende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>.</w:t>
      </w:r>
    </w:p>
    <w:p w14:paraId="0F550059" w14:textId="4AFB138C" w:rsidR="00C52B21" w:rsidRDefault="00C52B21" w:rsidP="00C52B21"/>
    <w:p w14:paraId="1D29CB10" w14:textId="2422CA61" w:rsidR="00C52B21" w:rsidRPr="00BB5616" w:rsidRDefault="00795612" w:rsidP="00C52B21">
      <w:pPr>
        <w:rPr>
          <w:b/>
          <w:bCs/>
          <w:sz w:val="28"/>
          <w:szCs w:val="28"/>
        </w:rPr>
      </w:pPr>
      <w:bookmarkStart w:id="5" w:name="_Toc161921296"/>
      <w:proofErr w:type="spellStart"/>
      <w:r>
        <w:rPr>
          <w:rStyle w:val="Overskrift1Tegn"/>
        </w:rPr>
        <w:t>Dosering</w:t>
      </w:r>
      <w:proofErr w:type="spellEnd"/>
      <w:r>
        <w:rPr>
          <w:rStyle w:val="Overskrift1Tegn"/>
        </w:rPr>
        <w:t xml:space="preserve"> </w:t>
      </w:r>
      <w:r w:rsidR="003E5220" w:rsidRPr="00A62A41">
        <w:rPr>
          <w:rStyle w:val="Overskrift1Tegn"/>
          <w:vertAlign w:val="superscript"/>
        </w:rPr>
        <w:t>1</w:t>
      </w:r>
      <w:bookmarkEnd w:id="5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76CA" w14:paraId="1F115F38" w14:textId="77777777" w:rsidTr="009C76CA">
        <w:tc>
          <w:tcPr>
            <w:tcW w:w="2265" w:type="dxa"/>
          </w:tcPr>
          <w:p w14:paraId="3779C01E" w14:textId="77777777" w:rsidR="009C76CA" w:rsidRDefault="009C76CA" w:rsidP="00C52B21"/>
        </w:tc>
        <w:tc>
          <w:tcPr>
            <w:tcW w:w="2265" w:type="dxa"/>
          </w:tcPr>
          <w:p w14:paraId="54CC010F" w14:textId="6F04E8F8" w:rsidR="009C76CA" w:rsidRDefault="009C76CA" w:rsidP="009C76CA">
            <w:proofErr w:type="spellStart"/>
            <w:r w:rsidRPr="009C76CA">
              <w:rPr>
                <w:b/>
                <w:bCs/>
              </w:rPr>
              <w:t>Initiering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r w:rsidRPr="009C76CA">
              <w:rPr>
                <w:b/>
                <w:bCs/>
              </w:rPr>
              <w:t>af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r w:rsidRPr="009C76CA">
              <w:rPr>
                <w:b/>
                <w:bCs/>
              </w:rPr>
              <w:t>behandling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operationsdagen</w:t>
            </w:r>
            <w:proofErr w:type="spellEnd"/>
            <w:r>
              <w:t xml:space="preserve"> 1-4 </w:t>
            </w:r>
            <w:proofErr w:type="spellStart"/>
            <w:r>
              <w:t>timer</w:t>
            </w:r>
            <w:proofErr w:type="spellEnd"/>
            <w:r>
              <w:t xml:space="preserve"> </w:t>
            </w:r>
            <w:proofErr w:type="spellStart"/>
            <w:r>
              <w:t>postoperativt</w:t>
            </w:r>
            <w:proofErr w:type="spellEnd"/>
          </w:p>
        </w:tc>
        <w:tc>
          <w:tcPr>
            <w:tcW w:w="2266" w:type="dxa"/>
          </w:tcPr>
          <w:p w14:paraId="31518533" w14:textId="01658169" w:rsidR="009C76CA" w:rsidRDefault="009C76CA" w:rsidP="00C52B21">
            <w:proofErr w:type="spellStart"/>
            <w:r w:rsidRPr="009C76CA">
              <w:rPr>
                <w:b/>
                <w:bCs/>
              </w:rPr>
              <w:t>Vedligeholdelsesdosis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r w:rsidRPr="009C76CA">
              <w:t>fra</w:t>
            </w:r>
            <w:proofErr w:type="spellEnd"/>
            <w:r w:rsidRPr="009C76CA">
              <w:t xml:space="preserve"> den </w:t>
            </w:r>
            <w:proofErr w:type="spellStart"/>
            <w:r w:rsidRPr="009C76CA">
              <w:t>første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dag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efter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indgrebet</w:t>
            </w:r>
            <w:proofErr w:type="spellEnd"/>
          </w:p>
        </w:tc>
        <w:tc>
          <w:tcPr>
            <w:tcW w:w="2266" w:type="dxa"/>
          </w:tcPr>
          <w:p w14:paraId="1F6FCCD2" w14:textId="20A90D69" w:rsidR="009C76CA" w:rsidRDefault="009C76CA" w:rsidP="00C52B21">
            <w:proofErr w:type="spellStart"/>
            <w:r w:rsidRPr="009C76CA">
              <w:rPr>
                <w:b/>
                <w:bCs/>
              </w:rPr>
              <w:t>Varighed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9C76CA">
              <w:rPr>
                <w:b/>
                <w:bCs/>
              </w:rPr>
              <w:t>af</w:t>
            </w:r>
            <w:proofErr w:type="spellEnd"/>
            <w:r w:rsidRPr="009C76CA">
              <w:rPr>
                <w:b/>
                <w:bCs/>
              </w:rPr>
              <w:t xml:space="preserve">  </w:t>
            </w:r>
            <w:proofErr w:type="spellStart"/>
            <w:r w:rsidRPr="009C76CA">
              <w:t>administration</w:t>
            </w:r>
            <w:proofErr w:type="spellEnd"/>
            <w:proofErr w:type="gramEnd"/>
            <w:r w:rsidRPr="009C76CA">
              <w:t xml:space="preserve"> </w:t>
            </w:r>
            <w:proofErr w:type="spellStart"/>
            <w:r w:rsidRPr="009C76CA">
              <w:t>af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vedligeholdelsesdosis</w:t>
            </w:r>
            <w:proofErr w:type="spellEnd"/>
          </w:p>
        </w:tc>
      </w:tr>
      <w:tr w:rsidR="009C76CA" w14:paraId="3DDBF6F5" w14:textId="77777777" w:rsidTr="009C76CA">
        <w:tc>
          <w:tcPr>
            <w:tcW w:w="2265" w:type="dxa"/>
          </w:tcPr>
          <w:p w14:paraId="787EB365" w14:textId="3E920DD4" w:rsidR="009C76CA" w:rsidRDefault="009C76CA" w:rsidP="00C52B21">
            <w:proofErr w:type="spellStart"/>
            <w:r w:rsidRPr="009C76CA">
              <w:t>Patienter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efter</w:t>
            </w:r>
            <w:proofErr w:type="spellEnd"/>
            <w:r w:rsidRPr="009C76CA">
              <w:t xml:space="preserve"> elektiv </w:t>
            </w:r>
            <w:proofErr w:type="spellStart"/>
            <w:r w:rsidRPr="009C76CA">
              <w:t>kirurgisk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knæalloplastik</w:t>
            </w:r>
            <w:proofErr w:type="spellEnd"/>
          </w:p>
        </w:tc>
        <w:tc>
          <w:tcPr>
            <w:tcW w:w="2265" w:type="dxa"/>
            <w:vMerge w:val="restart"/>
          </w:tcPr>
          <w:p w14:paraId="2FB5118B" w14:textId="6170B70D" w:rsidR="009C76CA" w:rsidRDefault="009C76CA" w:rsidP="00C52B21">
            <w:r w:rsidRPr="009C76CA">
              <w:t xml:space="preserve">1 </w:t>
            </w:r>
            <w:proofErr w:type="spellStart"/>
            <w:r w:rsidRPr="009C76CA">
              <w:t>kapsel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dabigatranetexilat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på</w:t>
            </w:r>
            <w:proofErr w:type="spellEnd"/>
            <w:r w:rsidRPr="009C76CA">
              <w:t xml:space="preserve"> 110 mg</w:t>
            </w:r>
          </w:p>
        </w:tc>
        <w:tc>
          <w:tcPr>
            <w:tcW w:w="2266" w:type="dxa"/>
            <w:vMerge w:val="restart"/>
          </w:tcPr>
          <w:p w14:paraId="506ED20B" w14:textId="3C2B4BAF" w:rsidR="009C76CA" w:rsidRDefault="009C76CA" w:rsidP="00C52B21">
            <w:r w:rsidRPr="009C76CA">
              <w:t xml:space="preserve">220 mg </w:t>
            </w:r>
            <w:proofErr w:type="spellStart"/>
            <w:r w:rsidRPr="009C76CA">
              <w:t>dabigatranetexilat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én</w:t>
            </w:r>
            <w:proofErr w:type="spellEnd"/>
            <w:r w:rsidRPr="009C76CA">
              <w:t xml:space="preserve"> gang </w:t>
            </w:r>
            <w:proofErr w:type="spellStart"/>
            <w:r w:rsidRPr="009C76CA">
              <w:t>dagligt</w:t>
            </w:r>
            <w:proofErr w:type="spellEnd"/>
            <w:r w:rsidRPr="009C76CA">
              <w:t xml:space="preserve">, taget </w:t>
            </w:r>
            <w:proofErr w:type="spellStart"/>
            <w:r w:rsidRPr="009C76CA">
              <w:t>som</w:t>
            </w:r>
            <w:proofErr w:type="spellEnd"/>
            <w:r w:rsidRPr="009C76CA">
              <w:t xml:space="preserve"> 2 </w:t>
            </w:r>
            <w:proofErr w:type="spellStart"/>
            <w:r w:rsidRPr="009C76CA">
              <w:t>kapsler</w:t>
            </w:r>
            <w:proofErr w:type="spellEnd"/>
            <w:r w:rsidRPr="009C76CA">
              <w:t xml:space="preserve"> a 110 mg</w:t>
            </w:r>
          </w:p>
        </w:tc>
        <w:tc>
          <w:tcPr>
            <w:tcW w:w="2266" w:type="dxa"/>
          </w:tcPr>
          <w:p w14:paraId="467CD3F3" w14:textId="1D3E6E2E" w:rsidR="009C76CA" w:rsidRDefault="009C76CA" w:rsidP="00C52B21">
            <w:r w:rsidRPr="009C76CA">
              <w:t xml:space="preserve">10 </w:t>
            </w:r>
            <w:proofErr w:type="spellStart"/>
            <w:r w:rsidRPr="009C76CA">
              <w:t>dage</w:t>
            </w:r>
            <w:proofErr w:type="spellEnd"/>
          </w:p>
        </w:tc>
      </w:tr>
      <w:tr w:rsidR="009C76CA" w14:paraId="3E1FF2FF" w14:textId="77777777" w:rsidTr="009C76CA">
        <w:tc>
          <w:tcPr>
            <w:tcW w:w="2265" w:type="dxa"/>
          </w:tcPr>
          <w:p w14:paraId="3A9DDB23" w14:textId="02C7336E" w:rsidR="009C76CA" w:rsidRDefault="009C76CA" w:rsidP="00C52B21">
            <w:proofErr w:type="spellStart"/>
            <w:r w:rsidRPr="009C76CA">
              <w:t>Patienter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efter</w:t>
            </w:r>
            <w:proofErr w:type="spellEnd"/>
            <w:r w:rsidRPr="009C76CA">
              <w:t xml:space="preserve"> elektiv </w:t>
            </w:r>
            <w:proofErr w:type="spellStart"/>
            <w:r w:rsidRPr="009C76CA">
              <w:t>kirurgisk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hoftealloplastik</w:t>
            </w:r>
            <w:proofErr w:type="spellEnd"/>
          </w:p>
        </w:tc>
        <w:tc>
          <w:tcPr>
            <w:tcW w:w="2265" w:type="dxa"/>
            <w:vMerge/>
          </w:tcPr>
          <w:p w14:paraId="54ECA827" w14:textId="77777777" w:rsidR="009C76CA" w:rsidRDefault="009C76CA" w:rsidP="00C52B21"/>
        </w:tc>
        <w:tc>
          <w:tcPr>
            <w:tcW w:w="2266" w:type="dxa"/>
            <w:vMerge/>
          </w:tcPr>
          <w:p w14:paraId="15FBC33A" w14:textId="77777777" w:rsidR="009C76CA" w:rsidRDefault="009C76CA" w:rsidP="00C52B21"/>
        </w:tc>
        <w:tc>
          <w:tcPr>
            <w:tcW w:w="2266" w:type="dxa"/>
          </w:tcPr>
          <w:p w14:paraId="767D407D" w14:textId="014629C7" w:rsidR="009C76CA" w:rsidRDefault="009C76CA" w:rsidP="00C52B21">
            <w:r w:rsidRPr="009C76CA">
              <w:t xml:space="preserve">28-35 </w:t>
            </w:r>
            <w:proofErr w:type="spellStart"/>
            <w:r w:rsidRPr="009C76CA">
              <w:t>dage</w:t>
            </w:r>
            <w:proofErr w:type="spellEnd"/>
          </w:p>
        </w:tc>
      </w:tr>
    </w:tbl>
    <w:p w14:paraId="77F0B0F9" w14:textId="67C23CFC" w:rsidR="003E5220" w:rsidRDefault="003E5220" w:rsidP="00C52B21"/>
    <w:p w14:paraId="21AA8B8E" w14:textId="07432DED" w:rsidR="003E5220" w:rsidRPr="00BB5616" w:rsidRDefault="00BB5616" w:rsidP="00C52B21">
      <w:pPr>
        <w:rPr>
          <w:b/>
          <w:bCs/>
        </w:rPr>
      </w:pPr>
      <w:r w:rsidRPr="00BB5616">
        <w:rPr>
          <w:rFonts w:cstheme="minorHAnsi"/>
          <w:b/>
          <w:bCs/>
          <w:spacing w:val="-2"/>
        </w:rPr>
        <w:t>Dosisreduktion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76CA" w14:paraId="7A7F3D24" w14:textId="77777777" w:rsidTr="009C76CA">
        <w:tc>
          <w:tcPr>
            <w:tcW w:w="2265" w:type="dxa"/>
          </w:tcPr>
          <w:p w14:paraId="2FDF6F4B" w14:textId="77777777" w:rsidR="009C76CA" w:rsidRDefault="009C76CA" w:rsidP="00C52B21"/>
        </w:tc>
        <w:tc>
          <w:tcPr>
            <w:tcW w:w="2265" w:type="dxa"/>
          </w:tcPr>
          <w:p w14:paraId="29BD521C" w14:textId="6ED05975" w:rsidR="009C76CA" w:rsidRDefault="009C76CA" w:rsidP="009C76CA">
            <w:proofErr w:type="spellStart"/>
            <w:r w:rsidRPr="009C76CA">
              <w:rPr>
                <w:b/>
                <w:bCs/>
              </w:rPr>
              <w:t>Initiering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r w:rsidRPr="009C76CA">
              <w:rPr>
                <w:b/>
                <w:bCs/>
              </w:rPr>
              <w:t>af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r w:rsidRPr="009C76CA">
              <w:rPr>
                <w:b/>
                <w:bCs/>
              </w:rPr>
              <w:t>behandling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operationsdagen</w:t>
            </w:r>
            <w:proofErr w:type="spellEnd"/>
            <w:r>
              <w:t xml:space="preserve"> 1-4 </w:t>
            </w:r>
            <w:proofErr w:type="spellStart"/>
            <w:r>
              <w:t>timer</w:t>
            </w:r>
            <w:proofErr w:type="spellEnd"/>
            <w:r>
              <w:t xml:space="preserve"> </w:t>
            </w:r>
            <w:proofErr w:type="spellStart"/>
            <w:r>
              <w:t>postoperativt</w:t>
            </w:r>
            <w:proofErr w:type="spellEnd"/>
          </w:p>
        </w:tc>
        <w:tc>
          <w:tcPr>
            <w:tcW w:w="2266" w:type="dxa"/>
          </w:tcPr>
          <w:p w14:paraId="5F03C90C" w14:textId="5FB05118" w:rsidR="009C76CA" w:rsidRDefault="009C76CA" w:rsidP="00C52B21">
            <w:proofErr w:type="spellStart"/>
            <w:r w:rsidRPr="009C76CA">
              <w:rPr>
                <w:b/>
                <w:bCs/>
              </w:rPr>
              <w:t>Vedligeholdelsesdosis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r w:rsidRPr="009C76CA">
              <w:t>fra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første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dag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efter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operationen</w:t>
            </w:r>
            <w:proofErr w:type="spellEnd"/>
          </w:p>
        </w:tc>
        <w:tc>
          <w:tcPr>
            <w:tcW w:w="2266" w:type="dxa"/>
          </w:tcPr>
          <w:p w14:paraId="2F44B923" w14:textId="0E6A8ADF" w:rsidR="009C76CA" w:rsidRDefault="009C76CA" w:rsidP="00C52B21">
            <w:proofErr w:type="spellStart"/>
            <w:r w:rsidRPr="009C76CA">
              <w:rPr>
                <w:b/>
                <w:bCs/>
              </w:rPr>
              <w:t>Varighed</w:t>
            </w:r>
            <w:proofErr w:type="spellEnd"/>
            <w:r w:rsidRPr="009C76C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9C76CA">
              <w:rPr>
                <w:b/>
                <w:bCs/>
              </w:rPr>
              <w:t>af</w:t>
            </w:r>
            <w:proofErr w:type="spellEnd"/>
            <w:r w:rsidRPr="009C76CA">
              <w:rPr>
                <w:b/>
                <w:bCs/>
              </w:rPr>
              <w:t xml:space="preserve">  </w:t>
            </w:r>
            <w:proofErr w:type="spellStart"/>
            <w:r w:rsidRPr="009C76CA">
              <w:t>administration</w:t>
            </w:r>
            <w:proofErr w:type="spellEnd"/>
            <w:proofErr w:type="gramEnd"/>
            <w:r w:rsidRPr="009C76CA">
              <w:t xml:space="preserve"> </w:t>
            </w:r>
            <w:proofErr w:type="spellStart"/>
            <w:r w:rsidRPr="009C76CA">
              <w:t>af</w:t>
            </w:r>
            <w:proofErr w:type="spellEnd"/>
            <w:r w:rsidRPr="009C76CA">
              <w:t xml:space="preserve"> </w:t>
            </w:r>
            <w:proofErr w:type="spellStart"/>
            <w:r w:rsidRPr="009C76CA">
              <w:t>vedligeholdelsesdosis</w:t>
            </w:r>
            <w:proofErr w:type="spellEnd"/>
          </w:p>
        </w:tc>
      </w:tr>
      <w:tr w:rsidR="009C76CA" w14:paraId="08C68734" w14:textId="77777777" w:rsidTr="009C76CA">
        <w:tc>
          <w:tcPr>
            <w:tcW w:w="2265" w:type="dxa"/>
          </w:tcPr>
          <w:p w14:paraId="7E598E94" w14:textId="77EF74F3" w:rsidR="009C76CA" w:rsidRDefault="009C76CA" w:rsidP="009C76CA">
            <w:proofErr w:type="spellStart"/>
            <w:r>
              <w:t>Patienter</w:t>
            </w:r>
            <w:proofErr w:type="spellEnd"/>
            <w:r>
              <w:t xml:space="preserve"> med moderat </w:t>
            </w:r>
            <w:proofErr w:type="spellStart"/>
            <w:r>
              <w:t>nedsat</w:t>
            </w:r>
            <w:proofErr w:type="spellEnd"/>
            <w:r>
              <w:t xml:space="preserve"> </w:t>
            </w:r>
            <w:proofErr w:type="spellStart"/>
            <w:r>
              <w:t>nyrefunktion</w:t>
            </w:r>
            <w:proofErr w:type="spellEnd"/>
            <w:r>
              <w:t xml:space="preserve"> (</w:t>
            </w:r>
            <w:proofErr w:type="spellStart"/>
            <w:r>
              <w:t>kreatininclearance</w:t>
            </w:r>
            <w:proofErr w:type="spellEnd"/>
            <w:r>
              <w:t xml:space="preserve">, </w:t>
            </w:r>
            <w:proofErr w:type="spellStart"/>
            <w:r>
              <w:t>CrCl</w:t>
            </w:r>
            <w:proofErr w:type="spellEnd"/>
            <w:r>
              <w:t xml:space="preserve"> 30-50 ml/min)</w:t>
            </w:r>
          </w:p>
        </w:tc>
        <w:tc>
          <w:tcPr>
            <w:tcW w:w="2265" w:type="dxa"/>
            <w:vMerge w:val="restart"/>
          </w:tcPr>
          <w:p w14:paraId="4CBFB163" w14:textId="72999464" w:rsidR="009C76CA" w:rsidRDefault="00376F80" w:rsidP="009C76CA">
            <w:r>
              <w:t xml:space="preserve">1 </w:t>
            </w:r>
            <w:proofErr w:type="spellStart"/>
            <w:r>
              <w:t>kapsel</w:t>
            </w:r>
            <w:proofErr w:type="spellEnd"/>
            <w:r>
              <w:t xml:space="preserve"> </w:t>
            </w:r>
            <w:proofErr w:type="spellStart"/>
            <w:r>
              <w:t>dabigatranetexilat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75 mg</w:t>
            </w:r>
          </w:p>
        </w:tc>
        <w:tc>
          <w:tcPr>
            <w:tcW w:w="2266" w:type="dxa"/>
            <w:vMerge w:val="restart"/>
          </w:tcPr>
          <w:p w14:paraId="7104F2E9" w14:textId="08DEABC7" w:rsidR="009C76CA" w:rsidRDefault="00025F3D" w:rsidP="009C76CA">
            <w:r w:rsidRPr="00025F3D">
              <w:t xml:space="preserve">150 mg </w:t>
            </w:r>
            <w:proofErr w:type="spellStart"/>
            <w:r w:rsidRPr="00025F3D">
              <w:t>dabigatranetexilat</w:t>
            </w:r>
            <w:proofErr w:type="spellEnd"/>
            <w:r w:rsidRPr="00025F3D">
              <w:t xml:space="preserve"> </w:t>
            </w:r>
            <w:proofErr w:type="spellStart"/>
            <w:r w:rsidRPr="00025F3D">
              <w:t>én</w:t>
            </w:r>
            <w:proofErr w:type="spellEnd"/>
            <w:r w:rsidRPr="00025F3D">
              <w:t xml:space="preserve"> gang </w:t>
            </w:r>
            <w:proofErr w:type="spellStart"/>
            <w:r w:rsidRPr="00025F3D">
              <w:t>dagligt</w:t>
            </w:r>
            <w:proofErr w:type="spellEnd"/>
            <w:r w:rsidRPr="00025F3D">
              <w:t xml:space="preserve">, taget </w:t>
            </w:r>
            <w:proofErr w:type="spellStart"/>
            <w:r w:rsidRPr="00025F3D">
              <w:t>som</w:t>
            </w:r>
            <w:proofErr w:type="spellEnd"/>
            <w:r w:rsidRPr="00025F3D">
              <w:t xml:space="preserve"> 2 </w:t>
            </w:r>
            <w:proofErr w:type="spellStart"/>
            <w:r w:rsidRPr="00025F3D">
              <w:t>kapsler</w:t>
            </w:r>
            <w:proofErr w:type="spellEnd"/>
            <w:r w:rsidRPr="00025F3D">
              <w:t xml:space="preserve"> a 75 mg</w:t>
            </w:r>
          </w:p>
        </w:tc>
        <w:tc>
          <w:tcPr>
            <w:tcW w:w="2266" w:type="dxa"/>
            <w:vMerge w:val="restart"/>
          </w:tcPr>
          <w:p w14:paraId="65E7CD94" w14:textId="128417A0" w:rsidR="009C76CA" w:rsidRDefault="00376F80" w:rsidP="009C76CA">
            <w:r>
              <w:t xml:space="preserve">10 </w:t>
            </w:r>
            <w:proofErr w:type="spellStart"/>
            <w:r>
              <w:t>dage</w:t>
            </w:r>
            <w:proofErr w:type="spellEnd"/>
            <w:r>
              <w:t xml:space="preserve"> (elektiv </w:t>
            </w:r>
            <w:proofErr w:type="spellStart"/>
            <w:r>
              <w:t>knæalloplastik</w:t>
            </w:r>
            <w:proofErr w:type="spellEnd"/>
            <w:r>
              <w:t xml:space="preserve">) </w:t>
            </w:r>
            <w:proofErr w:type="spellStart"/>
            <w:r>
              <w:t>eller</w:t>
            </w:r>
            <w:proofErr w:type="spellEnd"/>
            <w:r>
              <w:t xml:space="preserve"> 28-35 </w:t>
            </w:r>
            <w:proofErr w:type="spellStart"/>
            <w:r>
              <w:t>dage</w:t>
            </w:r>
            <w:proofErr w:type="spellEnd"/>
            <w:r>
              <w:t xml:space="preserve"> (elektiv </w:t>
            </w:r>
            <w:proofErr w:type="spellStart"/>
            <w:r>
              <w:t>hoftealloplastik</w:t>
            </w:r>
            <w:proofErr w:type="spellEnd"/>
            <w:r>
              <w:t>)</w:t>
            </w:r>
          </w:p>
        </w:tc>
      </w:tr>
      <w:tr w:rsidR="009C76CA" w14:paraId="6B13D857" w14:textId="77777777" w:rsidTr="009C76CA">
        <w:tc>
          <w:tcPr>
            <w:tcW w:w="2265" w:type="dxa"/>
          </w:tcPr>
          <w:p w14:paraId="433D809A" w14:textId="793674BA" w:rsidR="009C76CA" w:rsidRDefault="009C76CA" w:rsidP="009C76CA">
            <w:proofErr w:type="spellStart"/>
            <w:r>
              <w:t>Patienter</w:t>
            </w:r>
            <w:proofErr w:type="spellEnd"/>
            <w:r>
              <w:t xml:space="preserve">, der </w:t>
            </w:r>
            <w:proofErr w:type="spellStart"/>
            <w:r>
              <w:t>samtidig</w:t>
            </w:r>
            <w:proofErr w:type="spellEnd"/>
            <w:r>
              <w:t xml:space="preserve"> </w:t>
            </w:r>
            <w:proofErr w:type="spellStart"/>
            <w:r>
              <w:t>får</w:t>
            </w:r>
            <w:proofErr w:type="spellEnd"/>
            <w:r>
              <w:t xml:space="preserve"> </w:t>
            </w:r>
            <w:proofErr w:type="spellStart"/>
            <w:r>
              <w:t>verapamil</w:t>
            </w:r>
            <w:proofErr w:type="spellEnd"/>
            <w:r>
              <w:t xml:space="preserve">, </w:t>
            </w:r>
            <w:proofErr w:type="spellStart"/>
            <w:r>
              <w:t>amiodaron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quinidin</w:t>
            </w:r>
            <w:proofErr w:type="spellEnd"/>
          </w:p>
        </w:tc>
        <w:tc>
          <w:tcPr>
            <w:tcW w:w="2265" w:type="dxa"/>
            <w:vMerge/>
          </w:tcPr>
          <w:p w14:paraId="297B5BF4" w14:textId="77777777" w:rsidR="009C76CA" w:rsidRDefault="009C76CA" w:rsidP="009C76CA"/>
        </w:tc>
        <w:tc>
          <w:tcPr>
            <w:tcW w:w="2266" w:type="dxa"/>
            <w:vMerge/>
          </w:tcPr>
          <w:p w14:paraId="7C836878" w14:textId="77777777" w:rsidR="009C76CA" w:rsidRDefault="009C76CA" w:rsidP="009C76CA"/>
        </w:tc>
        <w:tc>
          <w:tcPr>
            <w:tcW w:w="2266" w:type="dxa"/>
            <w:vMerge/>
          </w:tcPr>
          <w:p w14:paraId="584BB2B6" w14:textId="77777777" w:rsidR="009C76CA" w:rsidRDefault="009C76CA" w:rsidP="009C76CA"/>
        </w:tc>
      </w:tr>
      <w:tr w:rsidR="009C76CA" w14:paraId="42151127" w14:textId="77777777" w:rsidTr="009C76CA">
        <w:tc>
          <w:tcPr>
            <w:tcW w:w="2265" w:type="dxa"/>
          </w:tcPr>
          <w:p w14:paraId="735F74D8" w14:textId="767EF95B" w:rsidR="009C76CA" w:rsidRDefault="009C76CA" w:rsidP="009C76CA">
            <w:proofErr w:type="spellStart"/>
            <w:r>
              <w:t>Patienter</w:t>
            </w:r>
            <w:proofErr w:type="spellEnd"/>
            <w:r>
              <w:t xml:space="preserve"> &gt; 75 </w:t>
            </w:r>
            <w:proofErr w:type="spellStart"/>
            <w:r>
              <w:t>år</w:t>
            </w:r>
            <w:proofErr w:type="spellEnd"/>
          </w:p>
        </w:tc>
        <w:tc>
          <w:tcPr>
            <w:tcW w:w="2265" w:type="dxa"/>
            <w:vMerge/>
          </w:tcPr>
          <w:p w14:paraId="30126A65" w14:textId="77777777" w:rsidR="009C76CA" w:rsidRDefault="009C76CA" w:rsidP="009C76CA"/>
        </w:tc>
        <w:tc>
          <w:tcPr>
            <w:tcW w:w="2266" w:type="dxa"/>
            <w:vMerge/>
          </w:tcPr>
          <w:p w14:paraId="4D887C22" w14:textId="77777777" w:rsidR="009C76CA" w:rsidRDefault="009C76CA" w:rsidP="009C76CA"/>
        </w:tc>
        <w:tc>
          <w:tcPr>
            <w:tcW w:w="2266" w:type="dxa"/>
            <w:vMerge/>
          </w:tcPr>
          <w:p w14:paraId="080EFD38" w14:textId="77777777" w:rsidR="009C76CA" w:rsidRDefault="009C76CA" w:rsidP="009C76CA"/>
        </w:tc>
      </w:tr>
    </w:tbl>
    <w:p w14:paraId="2DE85DD5" w14:textId="46647D49" w:rsidR="00BB5616" w:rsidRDefault="00BB5616" w:rsidP="00C52B21"/>
    <w:p w14:paraId="557052DC" w14:textId="41A7907C" w:rsidR="00376F80" w:rsidRDefault="00376F80" w:rsidP="00376F80">
      <w:r>
        <w:t xml:space="preserve">Hos </w:t>
      </w:r>
      <w:proofErr w:type="spellStart"/>
      <w:r>
        <w:t>patienter</w:t>
      </w:r>
      <w:proofErr w:type="spellEnd"/>
      <w:r>
        <w:t xml:space="preserve"> med moderat </w:t>
      </w:r>
      <w:proofErr w:type="spellStart"/>
      <w:r>
        <w:t>nedsat</w:t>
      </w:r>
      <w:proofErr w:type="spellEnd"/>
      <w:r>
        <w:t xml:space="preserve"> </w:t>
      </w:r>
      <w:proofErr w:type="spellStart"/>
      <w:r>
        <w:t>nyrefunktion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samtidig</w:t>
      </w:r>
      <w:proofErr w:type="spellEnd"/>
      <w:r>
        <w:t xml:space="preserve"> </w:t>
      </w:r>
      <w:proofErr w:type="spellStart"/>
      <w:r>
        <w:t>medicinering</w:t>
      </w:r>
      <w:proofErr w:type="spellEnd"/>
      <w:r>
        <w:t xml:space="preserve"> med </w:t>
      </w:r>
      <w:proofErr w:type="spellStart"/>
      <w:r>
        <w:t>verapamil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yderligere</w:t>
      </w:r>
      <w:proofErr w:type="spellEnd"/>
      <w:r>
        <w:t xml:space="preserve"> </w:t>
      </w:r>
      <w:proofErr w:type="spellStart"/>
      <w:r>
        <w:t>reduktion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75 mg </w:t>
      </w:r>
      <w:proofErr w:type="spellStart"/>
      <w:r>
        <w:t>én</w:t>
      </w:r>
      <w:proofErr w:type="spellEnd"/>
      <w:r>
        <w:t xml:space="preserve"> gang </w:t>
      </w:r>
      <w:proofErr w:type="spellStart"/>
      <w:r>
        <w:t>dagligt</w:t>
      </w:r>
      <w:proofErr w:type="spellEnd"/>
      <w:r>
        <w:t xml:space="preserve"> </w:t>
      </w:r>
      <w:proofErr w:type="spellStart"/>
      <w:r>
        <w:t>overvejes</w:t>
      </w:r>
      <w:proofErr w:type="spellEnd"/>
      <w:r>
        <w:t>.</w:t>
      </w:r>
    </w:p>
    <w:p w14:paraId="3408F4DF" w14:textId="5127A1AE" w:rsidR="00BB5616" w:rsidRDefault="00376F80" w:rsidP="00376F80">
      <w:proofErr w:type="spellStart"/>
      <w:r>
        <w:t>For</w:t>
      </w:r>
      <w:proofErr w:type="spellEnd"/>
      <w:r>
        <w:t xml:space="preserve"> </w:t>
      </w:r>
      <w:proofErr w:type="spellStart"/>
      <w:r>
        <w:t>begge</w:t>
      </w:r>
      <w:proofErr w:type="spellEnd"/>
      <w:r>
        <w:t xml:space="preserve"> </w:t>
      </w:r>
      <w:proofErr w:type="spellStart"/>
      <w:r>
        <w:t>kirurgiske</w:t>
      </w:r>
      <w:proofErr w:type="spellEnd"/>
      <w:r>
        <w:t xml:space="preserve"> </w:t>
      </w:r>
      <w:proofErr w:type="spellStart"/>
      <w:r>
        <w:t>indgreb</w:t>
      </w:r>
      <w:proofErr w:type="spellEnd"/>
      <w:r>
        <w:t xml:space="preserve"> </w:t>
      </w:r>
      <w:proofErr w:type="spellStart"/>
      <w:r>
        <w:t>gælder</w:t>
      </w:r>
      <w:proofErr w:type="spellEnd"/>
      <w:r>
        <w:t xml:space="preserve"> </w:t>
      </w:r>
      <w:proofErr w:type="spellStart"/>
      <w:r>
        <w:t>følgende</w:t>
      </w:r>
      <w:proofErr w:type="spellEnd"/>
      <w:r>
        <w:t xml:space="preserve">: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hæmostase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bekræftes</w:t>
      </w:r>
      <w:proofErr w:type="spellEnd"/>
      <w:r>
        <w:t xml:space="preserve">,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initiering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udsættes</w:t>
      </w:r>
      <w:proofErr w:type="spellEnd"/>
      <w:r>
        <w:t xml:space="preserve">.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behandlingen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påbegyndes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operationsdagen</w:t>
      </w:r>
      <w:proofErr w:type="spellEnd"/>
      <w:r>
        <w:t xml:space="preserve">,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behandlingen</w:t>
      </w:r>
      <w:proofErr w:type="spellEnd"/>
      <w:r>
        <w:t xml:space="preserve"> </w:t>
      </w:r>
      <w:proofErr w:type="spellStart"/>
      <w:r>
        <w:t>påbegyndes</w:t>
      </w:r>
      <w:proofErr w:type="spellEnd"/>
      <w:r>
        <w:t xml:space="preserve"> med 2 </w:t>
      </w:r>
      <w:proofErr w:type="spellStart"/>
      <w:r>
        <w:t>kapsler</w:t>
      </w:r>
      <w:proofErr w:type="spellEnd"/>
      <w:r>
        <w:t xml:space="preserve"> en gang </w:t>
      </w:r>
      <w:proofErr w:type="spellStart"/>
      <w:r>
        <w:t>dagligt</w:t>
      </w:r>
      <w:proofErr w:type="spellEnd"/>
      <w:r>
        <w:t>.</w:t>
      </w:r>
    </w:p>
    <w:p w14:paraId="5405E7EF" w14:textId="5369C54B" w:rsidR="00DC7E4B" w:rsidRDefault="00DC7E4B" w:rsidP="00C52B21"/>
    <w:p w14:paraId="77EF2BCF" w14:textId="77777777" w:rsidR="00755DD1" w:rsidRPr="00755DD1" w:rsidRDefault="00755DD1" w:rsidP="00755DD1">
      <w:pPr>
        <w:rPr>
          <w:b/>
          <w:bCs/>
        </w:rPr>
      </w:pPr>
      <w:proofErr w:type="spellStart"/>
      <w:r w:rsidRPr="00755DD1">
        <w:rPr>
          <w:b/>
          <w:bCs/>
        </w:rPr>
        <w:t>Anbefaling</w:t>
      </w:r>
      <w:proofErr w:type="spellEnd"/>
      <w:r w:rsidRPr="00755DD1">
        <w:rPr>
          <w:b/>
          <w:bCs/>
        </w:rPr>
        <w:t xml:space="preserve"> </w:t>
      </w:r>
      <w:proofErr w:type="spellStart"/>
      <w:r w:rsidRPr="00755DD1">
        <w:rPr>
          <w:b/>
          <w:bCs/>
        </w:rPr>
        <w:t>om</w:t>
      </w:r>
      <w:proofErr w:type="spellEnd"/>
      <w:r w:rsidRPr="00755DD1">
        <w:rPr>
          <w:b/>
          <w:bCs/>
        </w:rPr>
        <w:t xml:space="preserve"> at </w:t>
      </w:r>
      <w:proofErr w:type="spellStart"/>
      <w:r w:rsidRPr="00755DD1">
        <w:rPr>
          <w:b/>
          <w:bCs/>
        </w:rPr>
        <w:t>kontrollere</w:t>
      </w:r>
      <w:proofErr w:type="spellEnd"/>
      <w:r w:rsidRPr="00755DD1">
        <w:rPr>
          <w:b/>
          <w:bCs/>
        </w:rPr>
        <w:t xml:space="preserve"> </w:t>
      </w:r>
      <w:proofErr w:type="spellStart"/>
      <w:r w:rsidRPr="00755DD1">
        <w:rPr>
          <w:b/>
          <w:bCs/>
        </w:rPr>
        <w:t>nyrefunktionen</w:t>
      </w:r>
      <w:proofErr w:type="spellEnd"/>
      <w:r w:rsidRPr="00755DD1">
        <w:rPr>
          <w:b/>
          <w:bCs/>
        </w:rPr>
        <w:t xml:space="preserve"> </w:t>
      </w:r>
      <w:proofErr w:type="spellStart"/>
      <w:r w:rsidRPr="00755DD1">
        <w:rPr>
          <w:b/>
          <w:bCs/>
        </w:rPr>
        <w:t>hos</w:t>
      </w:r>
      <w:proofErr w:type="spellEnd"/>
      <w:r w:rsidRPr="00755DD1">
        <w:rPr>
          <w:b/>
          <w:bCs/>
        </w:rPr>
        <w:t xml:space="preserve"> alle </w:t>
      </w:r>
      <w:proofErr w:type="spellStart"/>
      <w:r w:rsidRPr="00755DD1">
        <w:rPr>
          <w:b/>
          <w:bCs/>
        </w:rPr>
        <w:t>patienter</w:t>
      </w:r>
      <w:proofErr w:type="spellEnd"/>
    </w:p>
    <w:p w14:paraId="565FA994" w14:textId="34FD1BC2" w:rsidR="00755DD1" w:rsidRDefault="00755DD1" w:rsidP="00755DD1">
      <w:r>
        <w:t>•</w:t>
      </w:r>
      <w:proofErr w:type="spellStart"/>
      <w:r>
        <w:t>Før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med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nyrefunktionen</w:t>
      </w:r>
      <w:proofErr w:type="spellEnd"/>
      <w:r>
        <w:t xml:space="preserve"> </w:t>
      </w:r>
      <w:proofErr w:type="spellStart"/>
      <w:r>
        <w:t>evalueres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at </w:t>
      </w:r>
      <w:proofErr w:type="spellStart"/>
      <w:r>
        <w:t>bestemme</w:t>
      </w:r>
      <w:proofErr w:type="spellEnd"/>
      <w:r>
        <w:t xml:space="preserve"> </w:t>
      </w:r>
      <w:proofErr w:type="spellStart"/>
      <w:r>
        <w:t>kreatininclearance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hjælp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Cockcroft-Gault-</w:t>
      </w:r>
      <w:proofErr w:type="spellStart"/>
      <w:r>
        <w:t>formlen</w:t>
      </w:r>
      <w:proofErr w:type="spellEnd"/>
      <w:r>
        <w:t xml:space="preserve">* </w:t>
      </w:r>
      <w:proofErr w:type="spellStart"/>
      <w:r>
        <w:t>for</w:t>
      </w:r>
      <w:proofErr w:type="spellEnd"/>
      <w:r>
        <w:t xml:space="preserve"> at </w:t>
      </w:r>
      <w:proofErr w:type="spellStart"/>
      <w:r>
        <w:t>udelukke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svært</w:t>
      </w:r>
      <w:proofErr w:type="spellEnd"/>
      <w:r>
        <w:t xml:space="preserve"> </w:t>
      </w:r>
      <w:proofErr w:type="spellStart"/>
      <w:r>
        <w:t>nedsat</w:t>
      </w:r>
      <w:proofErr w:type="spellEnd"/>
      <w:r>
        <w:t xml:space="preserve"> </w:t>
      </w:r>
      <w:proofErr w:type="spellStart"/>
      <w:r>
        <w:t>nyrefunktion</w:t>
      </w:r>
      <w:proofErr w:type="spellEnd"/>
      <w:r>
        <w:t xml:space="preserve"> (</w:t>
      </w:r>
      <w:proofErr w:type="spellStart"/>
      <w:r>
        <w:t>kreatininclearance</w:t>
      </w:r>
      <w:proofErr w:type="spellEnd"/>
      <w:r>
        <w:t xml:space="preserve"> &lt; 30 ml/min).</w:t>
      </w:r>
    </w:p>
    <w:p w14:paraId="2EF97D04" w14:textId="3602F595" w:rsidR="00755DD1" w:rsidRDefault="00755DD1" w:rsidP="00755DD1">
      <w:r>
        <w:t xml:space="preserve">• </w:t>
      </w:r>
      <w:proofErr w:type="spellStart"/>
      <w:r>
        <w:t>Nyrefunktionen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evalueres</w:t>
      </w:r>
      <w:proofErr w:type="spellEnd"/>
      <w:r>
        <w:t xml:space="preserve"> i </w:t>
      </w:r>
      <w:proofErr w:type="spellStart"/>
      <w:r>
        <w:t>kliniske</w:t>
      </w:r>
      <w:proofErr w:type="spellEnd"/>
      <w:r>
        <w:t xml:space="preserve"> </w:t>
      </w:r>
      <w:proofErr w:type="spellStart"/>
      <w:r>
        <w:t>situationer</w:t>
      </w:r>
      <w:proofErr w:type="spellEnd"/>
      <w:r>
        <w:t xml:space="preserve">, </w:t>
      </w:r>
      <w:proofErr w:type="spellStart"/>
      <w:r>
        <w:t>hvor</w:t>
      </w:r>
      <w:proofErr w:type="spellEnd"/>
      <w:r>
        <w:t xml:space="preserve"> der er </w:t>
      </w:r>
      <w:proofErr w:type="spellStart"/>
      <w:r>
        <w:t>mistanke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et </w:t>
      </w:r>
      <w:proofErr w:type="spellStart"/>
      <w:r>
        <w:t>muligt</w:t>
      </w:r>
      <w:proofErr w:type="spellEnd"/>
      <w:r>
        <w:t xml:space="preserve"> </w:t>
      </w:r>
      <w:proofErr w:type="spellStart"/>
      <w:r>
        <w:t>fald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forringelse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nyrefunktionen</w:t>
      </w:r>
      <w:proofErr w:type="spellEnd"/>
      <w:r>
        <w:t xml:space="preserve"> (</w:t>
      </w:r>
      <w:proofErr w:type="spellStart"/>
      <w:r>
        <w:t>f.eks</w:t>
      </w:r>
      <w:proofErr w:type="spellEnd"/>
      <w:r>
        <w:t xml:space="preserve">. </w:t>
      </w:r>
      <w:proofErr w:type="spellStart"/>
      <w:r>
        <w:t>hypovolæmi</w:t>
      </w:r>
      <w:proofErr w:type="spellEnd"/>
      <w:r>
        <w:t xml:space="preserve">, </w:t>
      </w:r>
      <w:proofErr w:type="spellStart"/>
      <w:r>
        <w:t>dehydrering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visse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samtidig</w:t>
      </w:r>
      <w:proofErr w:type="spellEnd"/>
      <w:r>
        <w:t xml:space="preserve"> </w:t>
      </w:r>
      <w:proofErr w:type="spellStart"/>
      <w:r>
        <w:t>medicinering</w:t>
      </w:r>
      <w:proofErr w:type="spellEnd"/>
      <w:r>
        <w:t>).</w:t>
      </w:r>
    </w:p>
    <w:p w14:paraId="41BAD7A1" w14:textId="77777777" w:rsidR="00755DD1" w:rsidRDefault="00755DD1" w:rsidP="00755DD1"/>
    <w:p w14:paraId="1BC2A876" w14:textId="37EF0F09" w:rsidR="00755DD1" w:rsidRPr="00755DD1" w:rsidRDefault="00755DD1" w:rsidP="00755DD1">
      <w:pPr>
        <w:rPr>
          <w:b/>
          <w:bCs/>
        </w:rPr>
      </w:pPr>
      <w:r w:rsidRPr="00755DD1">
        <w:rPr>
          <w:b/>
          <w:bCs/>
        </w:rPr>
        <w:t xml:space="preserve">*Cockcroft-Gault </w:t>
      </w:r>
      <w:proofErr w:type="spellStart"/>
      <w:r w:rsidRPr="00755DD1">
        <w:rPr>
          <w:b/>
          <w:bCs/>
        </w:rPr>
        <w:t>formel</w:t>
      </w:r>
      <w:proofErr w:type="spellEnd"/>
    </w:p>
    <w:p w14:paraId="7EF130A4" w14:textId="1B102F48" w:rsidR="00755DD1" w:rsidRDefault="004D641D" w:rsidP="00C52B21">
      <w:proofErr w:type="spellStart"/>
      <w:r>
        <w:t>Når</w:t>
      </w:r>
      <w:proofErr w:type="spellEnd"/>
      <w:r>
        <w:t xml:space="preserve"> </w:t>
      </w:r>
      <w:proofErr w:type="spellStart"/>
      <w:r>
        <w:t>serumkreatinin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i mg/dl:</w:t>
      </w:r>
    </w:p>
    <w:p w14:paraId="70251432" w14:textId="3E1BE5CF" w:rsidR="004D641D" w:rsidRDefault="00BB4B1D" w:rsidP="00C52B21">
      <m:oMathPara>
        <m:oMath>
          <m:r>
            <w:rPr>
              <w:rFonts w:ascii="Cambria Math" w:hAnsi="Cambria Math"/>
            </w:rPr>
            <w:lastRenderedPageBreak/>
            <m:t>CrCl (ml/min)=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140-alder</m:t>
                  </m:r>
                </m:e>
              </m:d>
              <m:r>
                <w:rPr>
                  <w:rFonts w:ascii="Cambria Math" w:hAnsi="Cambria Math"/>
                </w:rPr>
                <m:t xml:space="preserve"> x vægt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kg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 xml:space="preserve">72 x serumkreatinin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dL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 xml:space="preserve"> (x 0,85 </m:t>
          </m:r>
          <m:r>
            <w:rPr>
              <w:rFonts w:ascii="Cambria Math" w:hAnsi="Cambria Math"/>
            </w:rPr>
            <m:t xml:space="preserve">hvis kvinde)  </m:t>
          </m:r>
        </m:oMath>
      </m:oMathPara>
    </w:p>
    <w:p w14:paraId="1C556B93" w14:textId="19671B27" w:rsidR="004D641D" w:rsidRDefault="004D641D" w:rsidP="004D641D">
      <w:proofErr w:type="spellStart"/>
      <w:r>
        <w:t>Når</w:t>
      </w:r>
      <w:proofErr w:type="spellEnd"/>
      <w:r>
        <w:t xml:space="preserve"> </w:t>
      </w:r>
      <w:proofErr w:type="spellStart"/>
      <w:r>
        <w:t>serumkreatinin</w:t>
      </w:r>
      <w:proofErr w:type="spellEnd"/>
      <w:r>
        <w:t xml:space="preserve"> </w:t>
      </w:r>
      <w:proofErr w:type="spellStart"/>
      <w:r>
        <w:t>udtrykkes</w:t>
      </w:r>
      <w:proofErr w:type="spellEnd"/>
      <w:r>
        <w:t xml:space="preserve"> i </w:t>
      </w:r>
      <w:proofErr w:type="spellStart"/>
      <w:r>
        <w:rPr>
          <w:rFonts w:cstheme="minorHAnsi"/>
        </w:rPr>
        <w:t>μmol</w:t>
      </w:r>
      <w:proofErr w:type="spellEnd"/>
      <w:r>
        <w:t>/l:</w:t>
      </w:r>
    </w:p>
    <w:p w14:paraId="52C5BD0E" w14:textId="64BB603D" w:rsidR="004D641D" w:rsidRDefault="00730D14" w:rsidP="00C52B21">
      <m:oMathPara>
        <m:oMath>
          <m:r>
            <w:rPr>
              <w:rFonts w:ascii="Cambria Math" w:hAnsi="Cambria Math"/>
            </w:rPr>
            <m:t>CrCl (ml/min)=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1,23 x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140-alder</m:t>
                  </m:r>
                </m:e>
              </m:d>
              <m:r>
                <w:rPr>
                  <w:rFonts w:ascii="Cambria Math" w:hAnsi="Cambria Math"/>
                </w:rPr>
                <m:t xml:space="preserve"> x vægt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kg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 xml:space="preserve">serumkreatinin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µ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mol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 xml:space="preserve"> (x 0,85 </m:t>
          </m:r>
          <m:r>
            <w:rPr>
              <w:rFonts w:ascii="Cambria Math" w:hAnsi="Cambria Math"/>
            </w:rPr>
            <m:t xml:space="preserve">hvis kvinde)  </m:t>
          </m:r>
        </m:oMath>
      </m:oMathPara>
    </w:p>
    <w:p w14:paraId="22C516BF" w14:textId="00C987C1" w:rsidR="004D641D" w:rsidRDefault="004D641D" w:rsidP="00C52B21">
      <w:r>
        <w:t xml:space="preserve">Hos </w:t>
      </w:r>
      <w:proofErr w:type="spellStart"/>
      <w:r>
        <w:t>kvinder</w:t>
      </w:r>
      <w:proofErr w:type="spellEnd"/>
      <w:r>
        <w:t xml:space="preserve"> </w:t>
      </w:r>
      <w:proofErr w:type="spellStart"/>
      <w:r>
        <w:t>multipliceres</w:t>
      </w:r>
      <w:proofErr w:type="spellEnd"/>
      <w:r>
        <w:t xml:space="preserve"> den </w:t>
      </w:r>
      <w:proofErr w:type="spellStart"/>
      <w:r>
        <w:t>beregnede</w:t>
      </w:r>
      <w:proofErr w:type="spellEnd"/>
      <w:r>
        <w:t xml:space="preserve"> </w:t>
      </w:r>
      <w:proofErr w:type="spellStart"/>
      <w:r>
        <w:t>værdi</w:t>
      </w:r>
      <w:proofErr w:type="spellEnd"/>
      <w:r>
        <w:t xml:space="preserve"> med 0, 85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lavere</w:t>
      </w:r>
      <w:proofErr w:type="spellEnd"/>
      <w:r>
        <w:t xml:space="preserve"> </w:t>
      </w:r>
      <w:proofErr w:type="spellStart"/>
      <w:r>
        <w:t>andel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muskler</w:t>
      </w:r>
      <w:proofErr w:type="spellEnd"/>
      <w:r>
        <w:t>.</w:t>
      </w:r>
    </w:p>
    <w:p w14:paraId="1621909D" w14:textId="20B58771" w:rsidR="00755DD1" w:rsidRDefault="00755DD1" w:rsidP="00C52B21"/>
    <w:p w14:paraId="320F8F93" w14:textId="52D19CE2" w:rsidR="00C8277E" w:rsidRDefault="004D641D" w:rsidP="004D641D">
      <w:r>
        <w:t xml:space="preserve">* </w:t>
      </w:r>
      <w:bookmarkStart w:id="6" w:name="_Hlk179463083"/>
      <w:r>
        <w:t>Da</w:t>
      </w:r>
      <w:r w:rsidR="00C8277E">
        <w:t xml:space="preserve"> </w:t>
      </w:r>
      <w:proofErr w:type="spellStart"/>
      <w:r w:rsidR="00C8277E" w:rsidRPr="00C8277E">
        <w:t>kreatininclearance</w:t>
      </w:r>
      <w:proofErr w:type="spellEnd"/>
      <w:r w:rsidR="00C8277E" w:rsidRPr="00C8277E">
        <w:t xml:space="preserve"> </w:t>
      </w:r>
      <w:proofErr w:type="spellStart"/>
      <w:r w:rsidR="00C8277E" w:rsidRPr="00C8277E">
        <w:t>blev</w:t>
      </w:r>
      <w:proofErr w:type="spellEnd"/>
      <w:r w:rsidR="00C8277E" w:rsidRPr="00C8277E">
        <w:t xml:space="preserve"> beregnet </w:t>
      </w:r>
      <w:proofErr w:type="spellStart"/>
      <w:r w:rsidR="00C8277E" w:rsidRPr="00C8277E">
        <w:t>ved</w:t>
      </w:r>
      <w:proofErr w:type="spellEnd"/>
      <w:r w:rsidR="00C8277E" w:rsidRPr="00C8277E">
        <w:t xml:space="preserve"> </w:t>
      </w:r>
      <w:proofErr w:type="spellStart"/>
      <w:r w:rsidR="00C8277E" w:rsidRPr="00C8277E">
        <w:t>hjælp</w:t>
      </w:r>
      <w:proofErr w:type="spellEnd"/>
      <w:r w:rsidR="00C8277E" w:rsidRPr="00C8277E">
        <w:t xml:space="preserve"> </w:t>
      </w:r>
      <w:proofErr w:type="spellStart"/>
      <w:r w:rsidR="00C8277E" w:rsidRPr="00C8277E">
        <w:t>af</w:t>
      </w:r>
      <w:proofErr w:type="spellEnd"/>
      <w:r w:rsidR="00C8277E" w:rsidRPr="00C8277E">
        <w:t xml:space="preserve"> serum-</w:t>
      </w:r>
      <w:proofErr w:type="spellStart"/>
      <w:r w:rsidR="00C8277E" w:rsidRPr="00C8277E">
        <w:t>kreatininniveauer</w:t>
      </w:r>
      <w:proofErr w:type="spellEnd"/>
      <w:r w:rsidR="00C8277E" w:rsidRPr="00C8277E">
        <w:t xml:space="preserve"> </w:t>
      </w:r>
      <w:proofErr w:type="spellStart"/>
      <w:r w:rsidR="00C8277E" w:rsidRPr="00C8277E">
        <w:t>ved</w:t>
      </w:r>
      <w:proofErr w:type="spellEnd"/>
      <w:r w:rsidR="00C8277E" w:rsidRPr="00C8277E">
        <w:t xml:space="preserve"> </w:t>
      </w:r>
      <w:proofErr w:type="spellStart"/>
      <w:r w:rsidR="00C8277E" w:rsidRPr="00C8277E">
        <w:t>hjælp</w:t>
      </w:r>
      <w:proofErr w:type="spellEnd"/>
      <w:r w:rsidR="00C8277E" w:rsidRPr="00C8277E">
        <w:t xml:space="preserve"> </w:t>
      </w:r>
      <w:proofErr w:type="spellStart"/>
      <w:r w:rsidR="00C8277E" w:rsidRPr="00C8277E">
        <w:t>af</w:t>
      </w:r>
      <w:proofErr w:type="spellEnd"/>
      <w:r w:rsidR="00C8277E" w:rsidRPr="00C8277E">
        <w:t xml:space="preserve"> Cockcroft-Gault-</w:t>
      </w:r>
      <w:proofErr w:type="spellStart"/>
      <w:r w:rsidR="00C8277E" w:rsidRPr="00C8277E">
        <w:t>formlen</w:t>
      </w:r>
      <w:proofErr w:type="spellEnd"/>
      <w:r w:rsidR="00C8277E" w:rsidRPr="00C8277E">
        <w:t xml:space="preserve"> i </w:t>
      </w:r>
      <w:proofErr w:type="spellStart"/>
      <w:r w:rsidR="00C8277E" w:rsidRPr="00C8277E">
        <w:t>dabigatranexilat</w:t>
      </w:r>
      <w:proofErr w:type="spellEnd"/>
      <w:r w:rsidR="00C8277E">
        <w:t xml:space="preserve"> </w:t>
      </w:r>
      <w:proofErr w:type="spellStart"/>
      <w:r w:rsidR="00C8277E" w:rsidRPr="00C8277E">
        <w:t>undersøgelser</w:t>
      </w:r>
      <w:proofErr w:type="spellEnd"/>
      <w:r w:rsidR="00C8277E" w:rsidRPr="00C8277E">
        <w:t xml:space="preserve">, </w:t>
      </w:r>
      <w:proofErr w:type="spellStart"/>
      <w:r w:rsidR="00C8277E" w:rsidRPr="00C8277E">
        <w:t>refererer</w:t>
      </w:r>
      <w:proofErr w:type="spellEnd"/>
      <w:r w:rsidR="00C8277E" w:rsidRPr="00C8277E">
        <w:t xml:space="preserve"> de globale </w:t>
      </w:r>
      <w:proofErr w:type="spellStart"/>
      <w:r w:rsidR="00C8277E" w:rsidRPr="00C8277E">
        <w:t>anbefalinger</w:t>
      </w:r>
      <w:proofErr w:type="spellEnd"/>
      <w:r w:rsidR="00C8277E" w:rsidRPr="00C8277E">
        <w:t xml:space="preserve"> </w:t>
      </w:r>
      <w:proofErr w:type="spellStart"/>
      <w:r w:rsidR="00C8277E" w:rsidRPr="00C8277E">
        <w:t>til</w:t>
      </w:r>
      <w:proofErr w:type="spellEnd"/>
      <w:r w:rsidR="00C8277E" w:rsidRPr="00C8277E">
        <w:t xml:space="preserve"> </w:t>
      </w:r>
      <w:proofErr w:type="spellStart"/>
      <w:r w:rsidR="00C8277E" w:rsidRPr="00C8277E">
        <w:t>vurdering</w:t>
      </w:r>
      <w:proofErr w:type="spellEnd"/>
      <w:r w:rsidR="00C8277E" w:rsidRPr="00C8277E">
        <w:t xml:space="preserve"> </w:t>
      </w:r>
      <w:proofErr w:type="spellStart"/>
      <w:r w:rsidR="00C8277E" w:rsidRPr="00C8277E">
        <w:t>af</w:t>
      </w:r>
      <w:proofErr w:type="spellEnd"/>
      <w:r w:rsidR="00C8277E" w:rsidRPr="00C8277E">
        <w:t xml:space="preserve"> </w:t>
      </w:r>
      <w:proofErr w:type="spellStart"/>
      <w:r w:rsidR="00C8277E" w:rsidRPr="00C8277E">
        <w:t>nyrefunktionen</w:t>
      </w:r>
      <w:proofErr w:type="spellEnd"/>
      <w:r w:rsidR="00C8277E" w:rsidRPr="00C8277E">
        <w:t xml:space="preserve"> i </w:t>
      </w:r>
      <w:proofErr w:type="spellStart"/>
      <w:r w:rsidR="00C8277E" w:rsidRPr="00C8277E">
        <w:t>dabigatran</w:t>
      </w:r>
      <w:proofErr w:type="spellEnd"/>
      <w:r w:rsidR="00C8277E" w:rsidRPr="00C8277E">
        <w:t xml:space="preserve"> </w:t>
      </w:r>
      <w:proofErr w:type="spellStart"/>
      <w:r w:rsidR="00C8277E" w:rsidRPr="00C8277E">
        <w:t>produktresuméet</w:t>
      </w:r>
      <w:proofErr w:type="spellEnd"/>
      <w:r w:rsidR="00C8277E" w:rsidRPr="00C8277E">
        <w:t xml:space="preserve"> </w:t>
      </w:r>
      <w:proofErr w:type="spellStart"/>
      <w:r w:rsidR="00C8277E" w:rsidRPr="00C8277E">
        <w:t>altid</w:t>
      </w:r>
      <w:proofErr w:type="spellEnd"/>
      <w:r w:rsidR="00C8277E" w:rsidRPr="00C8277E">
        <w:t xml:space="preserve"> </w:t>
      </w:r>
      <w:proofErr w:type="spellStart"/>
      <w:r w:rsidR="00C8277E" w:rsidRPr="00C8277E">
        <w:t>til</w:t>
      </w:r>
      <w:proofErr w:type="spellEnd"/>
      <w:r w:rsidR="00C8277E" w:rsidRPr="00C8277E">
        <w:t xml:space="preserve"> </w:t>
      </w:r>
      <w:proofErr w:type="spellStart"/>
      <w:r w:rsidR="00C8277E" w:rsidRPr="00C8277E">
        <w:t>kreatininclearance</w:t>
      </w:r>
      <w:proofErr w:type="spellEnd"/>
      <w:r w:rsidR="00C8277E" w:rsidRPr="00C8277E">
        <w:t xml:space="preserve"> </w:t>
      </w:r>
      <w:proofErr w:type="spellStart"/>
      <w:r w:rsidR="00C8277E" w:rsidRPr="00C8277E">
        <w:t>estimeret</w:t>
      </w:r>
      <w:proofErr w:type="spellEnd"/>
      <w:r w:rsidR="00C8277E" w:rsidRPr="00C8277E">
        <w:t xml:space="preserve"> </w:t>
      </w:r>
      <w:proofErr w:type="spellStart"/>
      <w:r w:rsidR="00C8277E" w:rsidRPr="00C8277E">
        <w:t>ved</w:t>
      </w:r>
      <w:proofErr w:type="spellEnd"/>
      <w:r w:rsidR="00C8277E" w:rsidRPr="00C8277E">
        <w:t xml:space="preserve"> </w:t>
      </w:r>
      <w:proofErr w:type="spellStart"/>
      <w:r w:rsidR="00C8277E" w:rsidRPr="00C8277E">
        <w:t>hjælp</w:t>
      </w:r>
      <w:proofErr w:type="spellEnd"/>
      <w:r w:rsidR="00C8277E" w:rsidRPr="00C8277E">
        <w:t xml:space="preserve"> </w:t>
      </w:r>
      <w:proofErr w:type="spellStart"/>
      <w:r w:rsidR="00C8277E" w:rsidRPr="00C8277E">
        <w:t>af</w:t>
      </w:r>
      <w:proofErr w:type="spellEnd"/>
      <w:r w:rsidR="00C8277E" w:rsidRPr="00C8277E">
        <w:t xml:space="preserve"> Cockcroft-Gault-</w:t>
      </w:r>
      <w:proofErr w:type="spellStart"/>
      <w:r w:rsidR="00C8277E" w:rsidRPr="00C8277E">
        <w:t>formlen</w:t>
      </w:r>
      <w:bookmarkEnd w:id="6"/>
      <w:proofErr w:type="spellEnd"/>
    </w:p>
    <w:p w14:paraId="394D063C" w14:textId="77777777" w:rsidR="00C8277E" w:rsidRDefault="00C8277E" w:rsidP="008659B7">
      <w:pPr>
        <w:rPr>
          <w:b/>
          <w:bCs/>
        </w:rPr>
      </w:pPr>
    </w:p>
    <w:p w14:paraId="1DA76150" w14:textId="0B579071" w:rsidR="008659B7" w:rsidRPr="008659B7" w:rsidRDefault="00740D3F" w:rsidP="008659B7">
      <w:pPr>
        <w:rPr>
          <w:b/>
          <w:bCs/>
        </w:rPr>
      </w:pPr>
      <w:proofErr w:type="spellStart"/>
      <w:r>
        <w:rPr>
          <w:b/>
          <w:bCs/>
        </w:rPr>
        <w:t>Behandlingsskift</w:t>
      </w:r>
      <w:proofErr w:type="spellEnd"/>
    </w:p>
    <w:p w14:paraId="394D055E" w14:textId="236BA35D" w:rsidR="008659B7" w:rsidRPr="008659B7" w:rsidRDefault="008659B7" w:rsidP="008659B7">
      <w:pPr>
        <w:rPr>
          <w:i/>
          <w:iCs/>
        </w:rPr>
      </w:pPr>
      <w:proofErr w:type="spellStart"/>
      <w:r w:rsidRPr="008659B7">
        <w:rPr>
          <w:i/>
          <w:iCs/>
        </w:rPr>
        <w:t>Fra</w:t>
      </w:r>
      <w:proofErr w:type="spellEnd"/>
      <w:r w:rsidRPr="008659B7">
        <w:rPr>
          <w:i/>
          <w:iCs/>
        </w:rPr>
        <w:t xml:space="preserve"> </w:t>
      </w:r>
      <w:proofErr w:type="spellStart"/>
      <w:r w:rsidR="001F726A" w:rsidRPr="001F726A">
        <w:rPr>
          <w:i/>
          <w:iCs/>
        </w:rPr>
        <w:t>dabigatranetexilat</w:t>
      </w:r>
      <w:proofErr w:type="spellEnd"/>
      <w:r w:rsidRPr="008659B7">
        <w:rPr>
          <w:i/>
          <w:iCs/>
        </w:rPr>
        <w:t xml:space="preserve"> </w:t>
      </w:r>
      <w:proofErr w:type="spellStart"/>
      <w:r w:rsidRPr="008659B7">
        <w:rPr>
          <w:i/>
          <w:iCs/>
        </w:rPr>
        <w:t>til</w:t>
      </w:r>
      <w:proofErr w:type="spellEnd"/>
      <w:r w:rsidRPr="008659B7">
        <w:rPr>
          <w:i/>
          <w:iCs/>
        </w:rPr>
        <w:t xml:space="preserve"> et </w:t>
      </w:r>
      <w:proofErr w:type="spellStart"/>
      <w:r w:rsidRPr="008659B7">
        <w:rPr>
          <w:i/>
          <w:iCs/>
        </w:rPr>
        <w:t>parenteralt</w:t>
      </w:r>
      <w:proofErr w:type="spellEnd"/>
      <w:r w:rsidRPr="008659B7">
        <w:rPr>
          <w:i/>
          <w:iCs/>
        </w:rPr>
        <w:t xml:space="preserve"> </w:t>
      </w:r>
      <w:proofErr w:type="spellStart"/>
      <w:r w:rsidRPr="008659B7">
        <w:rPr>
          <w:i/>
          <w:iCs/>
        </w:rPr>
        <w:t>antikoagulant</w:t>
      </w:r>
      <w:proofErr w:type="spellEnd"/>
    </w:p>
    <w:p w14:paraId="5AD3AFAD" w14:textId="57DC5B4B" w:rsidR="008659B7" w:rsidRDefault="00690BCB" w:rsidP="008659B7">
      <w:proofErr w:type="spellStart"/>
      <w:r>
        <w:t>Det</w:t>
      </w:r>
      <w:proofErr w:type="spellEnd"/>
      <w:r>
        <w:t xml:space="preserve"> </w:t>
      </w:r>
      <w:proofErr w:type="spellStart"/>
      <w:r>
        <w:t>anbefales</w:t>
      </w:r>
      <w:proofErr w:type="spellEnd"/>
      <w:r>
        <w:t xml:space="preserve"> at </w:t>
      </w:r>
      <w:proofErr w:type="spellStart"/>
      <w:r>
        <w:t>vente</w:t>
      </w:r>
      <w:proofErr w:type="spellEnd"/>
      <w:r>
        <w:t xml:space="preserve"> 24 </w:t>
      </w:r>
      <w:proofErr w:type="spellStart"/>
      <w:r>
        <w:t>timer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den </w:t>
      </w:r>
      <w:proofErr w:type="spellStart"/>
      <w:r>
        <w:t>sidste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, </w:t>
      </w:r>
      <w:proofErr w:type="spellStart"/>
      <w:r>
        <w:t>før</w:t>
      </w:r>
      <w:proofErr w:type="spellEnd"/>
      <w:r>
        <w:t xml:space="preserve"> der </w:t>
      </w:r>
      <w:proofErr w:type="spellStart"/>
      <w:r>
        <w:t>skiftes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parenteralt</w:t>
      </w:r>
      <w:proofErr w:type="spellEnd"/>
      <w:r>
        <w:t xml:space="preserve"> </w:t>
      </w:r>
      <w:proofErr w:type="spellStart"/>
      <w:r>
        <w:t>antikoagulantia</w:t>
      </w:r>
      <w:proofErr w:type="spellEnd"/>
      <w:r>
        <w:t>.</w:t>
      </w:r>
    </w:p>
    <w:p w14:paraId="4D576E80" w14:textId="77777777" w:rsidR="008659B7" w:rsidRDefault="008659B7" w:rsidP="008659B7">
      <w:pPr>
        <w:rPr>
          <w:i/>
          <w:iCs/>
        </w:rPr>
      </w:pPr>
    </w:p>
    <w:p w14:paraId="06077976" w14:textId="2F904943" w:rsidR="008659B7" w:rsidRPr="008659B7" w:rsidRDefault="008659B7" w:rsidP="008659B7">
      <w:pPr>
        <w:rPr>
          <w:i/>
          <w:iCs/>
        </w:rPr>
      </w:pPr>
      <w:proofErr w:type="spellStart"/>
      <w:r w:rsidRPr="008659B7">
        <w:rPr>
          <w:i/>
          <w:iCs/>
        </w:rPr>
        <w:t>Fra</w:t>
      </w:r>
      <w:proofErr w:type="spellEnd"/>
      <w:r w:rsidRPr="008659B7">
        <w:rPr>
          <w:i/>
          <w:iCs/>
        </w:rPr>
        <w:t xml:space="preserve"> et </w:t>
      </w:r>
      <w:proofErr w:type="spellStart"/>
      <w:r w:rsidRPr="008659B7">
        <w:rPr>
          <w:i/>
          <w:iCs/>
        </w:rPr>
        <w:t>parenteralt</w:t>
      </w:r>
      <w:proofErr w:type="spellEnd"/>
      <w:r w:rsidRPr="008659B7">
        <w:rPr>
          <w:i/>
          <w:iCs/>
        </w:rPr>
        <w:t xml:space="preserve"> </w:t>
      </w:r>
      <w:proofErr w:type="spellStart"/>
      <w:r w:rsidRPr="008659B7">
        <w:rPr>
          <w:i/>
          <w:iCs/>
        </w:rPr>
        <w:t>antikoagulant</w:t>
      </w:r>
      <w:proofErr w:type="spellEnd"/>
      <w:r w:rsidRPr="008659B7">
        <w:rPr>
          <w:i/>
          <w:iCs/>
        </w:rPr>
        <w:t xml:space="preserve"> </w:t>
      </w:r>
      <w:proofErr w:type="spellStart"/>
      <w:r w:rsidRPr="008659B7">
        <w:rPr>
          <w:i/>
          <w:iCs/>
        </w:rPr>
        <w:t>til</w:t>
      </w:r>
      <w:proofErr w:type="spellEnd"/>
      <w:r w:rsidRPr="008659B7">
        <w:rPr>
          <w:i/>
          <w:iCs/>
        </w:rPr>
        <w:t xml:space="preserve"> </w:t>
      </w:r>
      <w:proofErr w:type="spellStart"/>
      <w:r w:rsidRPr="008659B7">
        <w:rPr>
          <w:i/>
          <w:iCs/>
        </w:rPr>
        <w:t>dabigatranetexilat</w:t>
      </w:r>
      <w:proofErr w:type="spellEnd"/>
    </w:p>
    <w:p w14:paraId="67CB4FC6" w14:textId="77777777" w:rsidR="008659B7" w:rsidRDefault="008659B7" w:rsidP="008659B7">
      <w:r>
        <w:t xml:space="preserve">Parenteral </w:t>
      </w:r>
      <w:proofErr w:type="spellStart"/>
      <w:r>
        <w:t>antikoagulation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seponeres</w:t>
      </w:r>
      <w:proofErr w:type="spellEnd"/>
      <w:r>
        <w:t xml:space="preserve">.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0 </w:t>
      </w:r>
      <w:proofErr w:type="spellStart"/>
      <w:r>
        <w:t>til</w:t>
      </w:r>
      <w:proofErr w:type="spellEnd"/>
      <w:r>
        <w:t xml:space="preserve"> 2 </w:t>
      </w:r>
      <w:proofErr w:type="spellStart"/>
      <w:r>
        <w:t>timer</w:t>
      </w:r>
      <w:proofErr w:type="spellEnd"/>
      <w:r>
        <w:t xml:space="preserve"> </w:t>
      </w:r>
      <w:proofErr w:type="spellStart"/>
      <w:r>
        <w:t>før</w:t>
      </w:r>
      <w:proofErr w:type="spellEnd"/>
      <w:r>
        <w:t xml:space="preserve"> </w:t>
      </w:r>
      <w:proofErr w:type="spellStart"/>
      <w:r>
        <w:t>næste</w:t>
      </w:r>
      <w:proofErr w:type="spellEnd"/>
      <w:r>
        <w:t xml:space="preserve"> </w:t>
      </w:r>
      <w:proofErr w:type="spellStart"/>
      <w:r>
        <w:t>planlagte</w:t>
      </w:r>
      <w:proofErr w:type="spellEnd"/>
      <w:r>
        <w:t xml:space="preserve"> </w:t>
      </w:r>
      <w:proofErr w:type="spellStart"/>
      <w:r>
        <w:t>anvendelse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alternativet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seponeringstidspunktet</w:t>
      </w:r>
      <w:proofErr w:type="spellEnd"/>
      <w:r>
        <w:t xml:space="preserve"> i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igangværende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(</w:t>
      </w:r>
      <w:proofErr w:type="spellStart"/>
      <w:r>
        <w:t>f.eks</w:t>
      </w:r>
      <w:proofErr w:type="spellEnd"/>
      <w:r>
        <w:t xml:space="preserve">. </w:t>
      </w:r>
      <w:proofErr w:type="spellStart"/>
      <w:r>
        <w:t>intravenøs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med </w:t>
      </w:r>
      <w:proofErr w:type="spellStart"/>
      <w:r>
        <w:t>ufraktioneret</w:t>
      </w:r>
      <w:proofErr w:type="spellEnd"/>
      <w:r>
        <w:t xml:space="preserve"> </w:t>
      </w:r>
      <w:proofErr w:type="spellStart"/>
      <w:r>
        <w:t>heparin</w:t>
      </w:r>
      <w:proofErr w:type="spellEnd"/>
      <w:r>
        <w:t>).</w:t>
      </w:r>
    </w:p>
    <w:p w14:paraId="0CF6763B" w14:textId="77777777" w:rsidR="008659B7" w:rsidRDefault="008659B7" w:rsidP="008659B7"/>
    <w:p w14:paraId="0A30FBF3" w14:textId="5C08A229" w:rsidR="008659B7" w:rsidRPr="0079187C" w:rsidRDefault="008659B7" w:rsidP="008659B7">
      <w:pPr>
        <w:rPr>
          <w:i/>
          <w:iCs/>
        </w:rPr>
      </w:pPr>
      <w:proofErr w:type="spellStart"/>
      <w:r w:rsidRPr="0079187C">
        <w:rPr>
          <w:i/>
          <w:iCs/>
        </w:rPr>
        <w:t>Indgivelsesmåde</w:t>
      </w:r>
      <w:proofErr w:type="spellEnd"/>
    </w:p>
    <w:p w14:paraId="143E567F" w14:textId="609B7A81" w:rsidR="008659B7" w:rsidRDefault="008659B7" w:rsidP="008659B7">
      <w:proofErr w:type="spellStart"/>
      <w:r>
        <w:t>Dabigatranetexilat</w:t>
      </w:r>
      <w:proofErr w:type="spellEnd"/>
      <w:r>
        <w:t xml:space="preserve"> </w:t>
      </w:r>
      <w:proofErr w:type="spellStart"/>
      <w:r w:rsidR="00740D3F">
        <w:t>kapslen</w:t>
      </w:r>
      <w:proofErr w:type="spellEnd"/>
      <w:r w:rsidR="00740D3F">
        <w:t xml:space="preserve"> </w:t>
      </w:r>
      <w:r>
        <w:t xml:space="preserve">er beregnet </w:t>
      </w:r>
      <w:proofErr w:type="spellStart"/>
      <w:r>
        <w:t>til</w:t>
      </w:r>
      <w:proofErr w:type="spellEnd"/>
      <w:r>
        <w:t xml:space="preserve"> oral </w:t>
      </w:r>
      <w:proofErr w:type="spellStart"/>
      <w:r>
        <w:t>brug</w:t>
      </w:r>
      <w:proofErr w:type="spellEnd"/>
      <w:r>
        <w:t>.</w:t>
      </w:r>
    </w:p>
    <w:p w14:paraId="368908F9" w14:textId="6E4E0281" w:rsidR="008659B7" w:rsidRDefault="00667F69" w:rsidP="008659B7">
      <w:r>
        <w:t xml:space="preserve">• </w:t>
      </w:r>
      <w:proofErr w:type="spellStart"/>
      <w:r>
        <w:t>Kapsle</w:t>
      </w:r>
      <w:r w:rsidR="00740D3F">
        <w:t>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tages</w:t>
      </w:r>
      <w:proofErr w:type="spellEnd"/>
      <w:r>
        <w:t xml:space="preserve"> med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uden</w:t>
      </w:r>
      <w:proofErr w:type="spellEnd"/>
      <w:r>
        <w:t xml:space="preserve"> </w:t>
      </w:r>
      <w:proofErr w:type="spellStart"/>
      <w:r>
        <w:t>måltider</w:t>
      </w:r>
      <w:proofErr w:type="spellEnd"/>
      <w:r>
        <w:t xml:space="preserve">. </w:t>
      </w:r>
      <w:proofErr w:type="spellStart"/>
      <w:r w:rsidR="00740D3F">
        <w:t>Kapslen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synkes</w:t>
      </w:r>
      <w:proofErr w:type="spellEnd"/>
      <w:r>
        <w:t xml:space="preserve"> </w:t>
      </w:r>
      <w:proofErr w:type="spellStart"/>
      <w:r>
        <w:t>hel</w:t>
      </w:r>
      <w:proofErr w:type="spellEnd"/>
      <w:r>
        <w:t xml:space="preserve"> med et </w:t>
      </w:r>
      <w:proofErr w:type="spellStart"/>
      <w:r>
        <w:t>glas</w:t>
      </w:r>
      <w:proofErr w:type="spellEnd"/>
      <w:r>
        <w:t xml:space="preserve"> </w:t>
      </w:r>
      <w:proofErr w:type="spellStart"/>
      <w:r>
        <w:t>vand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at </w:t>
      </w:r>
      <w:proofErr w:type="spellStart"/>
      <w:r w:rsidR="00740D3F">
        <w:t>lette</w:t>
      </w:r>
      <w:proofErr w:type="spellEnd"/>
      <w:r w:rsidR="00740D3F">
        <w:t xml:space="preserve"> </w:t>
      </w:r>
      <w:proofErr w:type="spellStart"/>
      <w:r w:rsidR="00740D3F">
        <w:t>passagen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maven</w:t>
      </w:r>
      <w:proofErr w:type="spellEnd"/>
      <w:r>
        <w:t>.</w:t>
      </w:r>
    </w:p>
    <w:p w14:paraId="422A1332" w14:textId="57A9DC34" w:rsidR="008659B7" w:rsidRDefault="00667F69" w:rsidP="008659B7">
      <w:r>
        <w:t xml:space="preserve">• </w:t>
      </w:r>
      <w:proofErr w:type="spellStart"/>
      <w:r>
        <w:t>Kapslen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knækkes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tygges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kapslens</w:t>
      </w:r>
      <w:proofErr w:type="spellEnd"/>
      <w:r>
        <w:t xml:space="preserve"> </w:t>
      </w:r>
      <w:proofErr w:type="spellStart"/>
      <w:r>
        <w:t>indhold</w:t>
      </w:r>
      <w:proofErr w:type="spellEnd"/>
      <w:r>
        <w:t xml:space="preserve"> </w:t>
      </w:r>
      <w:proofErr w:type="spellStart"/>
      <w:r>
        <w:t>må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tømmes</w:t>
      </w:r>
      <w:proofErr w:type="spellEnd"/>
      <w:r>
        <w:t xml:space="preserve">, da </w:t>
      </w:r>
      <w:proofErr w:type="spellStart"/>
      <w:r>
        <w:t>dette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øge</w:t>
      </w:r>
      <w:proofErr w:type="spellEnd"/>
      <w:r>
        <w:t xml:space="preserve"> </w:t>
      </w:r>
      <w:proofErr w:type="spellStart"/>
      <w:r>
        <w:t>risikoen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>.</w:t>
      </w:r>
    </w:p>
    <w:p w14:paraId="632F3DBA" w14:textId="7113EB2C" w:rsidR="008659B7" w:rsidRDefault="008659B7" w:rsidP="008659B7"/>
    <w:p w14:paraId="2431D83E" w14:textId="1F43BE3D" w:rsidR="008659B7" w:rsidRPr="008659B7" w:rsidRDefault="008659B7" w:rsidP="008659B7">
      <w:pPr>
        <w:rPr>
          <w:b/>
          <w:bCs/>
          <w:sz w:val="28"/>
          <w:szCs w:val="28"/>
        </w:rPr>
      </w:pPr>
      <w:bookmarkStart w:id="7" w:name="_Toc161921297"/>
      <w:proofErr w:type="spellStart"/>
      <w:r w:rsidRPr="006D3808">
        <w:rPr>
          <w:rStyle w:val="Overskrift1Tegn"/>
        </w:rPr>
        <w:t>Særlige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patientgrupper</w:t>
      </w:r>
      <w:proofErr w:type="spellEnd"/>
      <w:r w:rsidRPr="006D3808">
        <w:rPr>
          <w:rStyle w:val="Overskrift1Tegn"/>
        </w:rPr>
        <w:t xml:space="preserve"> med </w:t>
      </w:r>
      <w:proofErr w:type="spellStart"/>
      <w:r w:rsidRPr="006D3808">
        <w:rPr>
          <w:rStyle w:val="Overskrift1Tegn"/>
        </w:rPr>
        <w:t>potentielt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øget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risiko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for</w:t>
      </w:r>
      <w:proofErr w:type="spellEnd"/>
      <w:r w:rsidRPr="006D3808">
        <w:rPr>
          <w:rStyle w:val="Overskrift1Tegn"/>
        </w:rPr>
        <w:t xml:space="preserve"> blødning</w:t>
      </w:r>
      <w:bookmarkEnd w:id="7"/>
      <w:r w:rsidRPr="008659B7">
        <w:rPr>
          <w:b/>
          <w:bCs/>
          <w:sz w:val="28"/>
          <w:szCs w:val="28"/>
          <w:vertAlign w:val="superscript"/>
        </w:rPr>
        <w:t>1</w:t>
      </w:r>
    </w:p>
    <w:p w14:paraId="569963C1" w14:textId="67F28E49" w:rsidR="008C7377" w:rsidRDefault="008C7377" w:rsidP="008C7377">
      <w:proofErr w:type="spellStart"/>
      <w:r>
        <w:t>Tæt</w:t>
      </w:r>
      <w:proofErr w:type="spellEnd"/>
      <w:r>
        <w:t xml:space="preserve"> </w:t>
      </w:r>
      <w:proofErr w:type="spellStart"/>
      <w:r>
        <w:t>monitorering</w:t>
      </w:r>
      <w:proofErr w:type="spellEnd"/>
      <w:r>
        <w:t xml:space="preserve"> </w:t>
      </w:r>
      <w:proofErr w:type="spellStart"/>
      <w:r>
        <w:t>anbefales</w:t>
      </w:r>
      <w:proofErr w:type="spellEnd"/>
      <w:r>
        <w:t xml:space="preserve"> </w:t>
      </w:r>
      <w:proofErr w:type="spellStart"/>
      <w:r>
        <w:t>hos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øget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 (se </w:t>
      </w:r>
      <w:proofErr w:type="spellStart"/>
      <w:r>
        <w:t>tabel</w:t>
      </w:r>
      <w:proofErr w:type="spellEnd"/>
      <w:r>
        <w:t xml:space="preserve"> 1) (</w:t>
      </w:r>
      <w:proofErr w:type="spellStart"/>
      <w:r>
        <w:t>tegn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symptomer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anæmi</w:t>
      </w:r>
      <w:proofErr w:type="spellEnd"/>
      <w:r>
        <w:t xml:space="preserve">), </w:t>
      </w:r>
      <w:proofErr w:type="spellStart"/>
      <w:r>
        <w:t>især</w:t>
      </w:r>
      <w:proofErr w:type="spellEnd"/>
      <w:r>
        <w:t xml:space="preserve"> </w:t>
      </w:r>
      <w:proofErr w:type="spellStart"/>
      <w:r>
        <w:t>når</w:t>
      </w:r>
      <w:proofErr w:type="spellEnd"/>
      <w:r>
        <w:t xml:space="preserve"> </w:t>
      </w:r>
      <w:r w:rsidR="00740D3F">
        <w:t xml:space="preserve">der er </w:t>
      </w:r>
      <w:proofErr w:type="spellStart"/>
      <w:r w:rsidR="00740D3F">
        <w:t>flere</w:t>
      </w:r>
      <w:proofErr w:type="spellEnd"/>
      <w:r w:rsidR="00740D3F">
        <w:t xml:space="preserve"> </w:t>
      </w:r>
      <w:proofErr w:type="spellStart"/>
      <w:r w:rsidR="00740D3F">
        <w:t>risikofaktorer</w:t>
      </w:r>
      <w:proofErr w:type="spellEnd"/>
      <w:r>
        <w:t xml:space="preserve">. </w:t>
      </w:r>
      <w:proofErr w:type="spellStart"/>
      <w:r>
        <w:t>Hvis</w:t>
      </w:r>
      <w:proofErr w:type="spellEnd"/>
      <w:r>
        <w:t xml:space="preserve"> der er et </w:t>
      </w:r>
      <w:proofErr w:type="spellStart"/>
      <w:r>
        <w:t>uforklarligt</w:t>
      </w:r>
      <w:proofErr w:type="spellEnd"/>
      <w:r>
        <w:t xml:space="preserve"> </w:t>
      </w:r>
      <w:proofErr w:type="spellStart"/>
      <w:r>
        <w:t>fald</w:t>
      </w:r>
      <w:proofErr w:type="spellEnd"/>
      <w:r>
        <w:t xml:space="preserve"> i </w:t>
      </w:r>
      <w:proofErr w:type="spellStart"/>
      <w:r>
        <w:t>hæmoglobin</w:t>
      </w:r>
      <w:proofErr w:type="spellEnd"/>
      <w:r>
        <w:t xml:space="preserve">- </w:t>
      </w:r>
      <w:proofErr w:type="spellStart"/>
      <w:r>
        <w:t>og</w:t>
      </w:r>
      <w:proofErr w:type="spellEnd"/>
      <w:r>
        <w:t>/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hæmatokritniveauet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blodtrykket</w:t>
      </w:r>
      <w:proofErr w:type="spellEnd"/>
      <w:r>
        <w:t xml:space="preserve">, </w:t>
      </w:r>
      <w:proofErr w:type="spellStart"/>
      <w:r>
        <w:t>skal</w:t>
      </w:r>
      <w:proofErr w:type="spellEnd"/>
      <w:r>
        <w:t xml:space="preserve"> </w:t>
      </w:r>
      <w:proofErr w:type="spellStart"/>
      <w:r w:rsidR="00740D3F">
        <w:t>det</w:t>
      </w:r>
      <w:proofErr w:type="spellEnd"/>
      <w:r w:rsidR="00740D3F">
        <w:t xml:space="preserve"> </w:t>
      </w:r>
      <w:bookmarkStart w:id="8" w:name="_Hlk178932403"/>
      <w:proofErr w:type="spellStart"/>
      <w:r w:rsidR="00740D3F">
        <w:t>føre</w:t>
      </w:r>
      <w:proofErr w:type="spellEnd"/>
      <w:r w:rsidR="00740D3F">
        <w:t xml:space="preserve"> </w:t>
      </w:r>
      <w:proofErr w:type="spellStart"/>
      <w:r w:rsidR="00740D3F">
        <w:t>til</w:t>
      </w:r>
      <w:proofErr w:type="spellEnd"/>
      <w:r w:rsidR="00740D3F">
        <w:t xml:space="preserve"> </w:t>
      </w:r>
      <w:proofErr w:type="spellStart"/>
      <w:r w:rsidR="00740D3F">
        <w:t>udredning</w:t>
      </w:r>
      <w:proofErr w:type="spellEnd"/>
      <w:r w:rsidR="00740D3F">
        <w:t xml:space="preserve"> </w:t>
      </w:r>
      <w:proofErr w:type="spellStart"/>
      <w:r w:rsidR="00740D3F">
        <w:t>af</w:t>
      </w:r>
      <w:proofErr w:type="spellEnd"/>
      <w:r w:rsidR="00740D3F">
        <w:t xml:space="preserve"> en </w:t>
      </w:r>
      <w:proofErr w:type="spellStart"/>
      <w:r w:rsidR="00740D3F">
        <w:t>blødningskilde</w:t>
      </w:r>
      <w:bookmarkEnd w:id="8"/>
      <w:proofErr w:type="spellEnd"/>
      <w:r>
        <w:t xml:space="preserve">. </w:t>
      </w:r>
      <w:proofErr w:type="spellStart"/>
      <w:r>
        <w:t>Dosisjustering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foretages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lægens</w:t>
      </w:r>
      <w:proofErr w:type="spellEnd"/>
      <w:r>
        <w:t xml:space="preserve"> </w:t>
      </w:r>
      <w:proofErr w:type="spellStart"/>
      <w:r>
        <w:t>skøn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omhyggelig</w:t>
      </w:r>
      <w:proofErr w:type="spellEnd"/>
      <w:r>
        <w:t xml:space="preserve"> </w:t>
      </w:r>
      <w:proofErr w:type="spellStart"/>
      <w:r>
        <w:t>vurdering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terapeutiske</w:t>
      </w:r>
      <w:proofErr w:type="spellEnd"/>
      <w:r>
        <w:t xml:space="preserve"> </w:t>
      </w:r>
      <w:proofErr w:type="spellStart"/>
      <w:r>
        <w:t>fordel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den </w:t>
      </w:r>
      <w:proofErr w:type="spellStart"/>
      <w:r>
        <w:t>enkelte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(se </w:t>
      </w:r>
      <w:proofErr w:type="spellStart"/>
      <w:r>
        <w:t>ovenfor</w:t>
      </w:r>
      <w:proofErr w:type="spellEnd"/>
      <w:r>
        <w:t xml:space="preserve">). En </w:t>
      </w:r>
      <w:proofErr w:type="spellStart"/>
      <w:r>
        <w:t>koagulationstest</w:t>
      </w:r>
      <w:proofErr w:type="spellEnd"/>
      <w:r>
        <w:t xml:space="preserve"> (se </w:t>
      </w:r>
      <w:proofErr w:type="spellStart"/>
      <w:r>
        <w:t>afsnittet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lastRenderedPageBreak/>
        <w:t>koagulationstest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fortolkningen</w:t>
      </w:r>
      <w:proofErr w:type="spellEnd"/>
      <w:r>
        <w:t xml:space="preserve"> </w:t>
      </w:r>
      <w:proofErr w:type="spellStart"/>
      <w:r>
        <w:t>heraf</w:t>
      </w:r>
      <w:proofErr w:type="spellEnd"/>
      <w:r>
        <w:t xml:space="preserve">)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hjælpe</w:t>
      </w:r>
      <w:proofErr w:type="spellEnd"/>
      <w:r>
        <w:t xml:space="preserve"> med at </w:t>
      </w:r>
      <w:proofErr w:type="spellStart"/>
      <w:r>
        <w:t>identificere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, der har </w:t>
      </w:r>
      <w:proofErr w:type="spellStart"/>
      <w:r>
        <w:t>højere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overdreven</w:t>
      </w:r>
      <w:proofErr w:type="spellEnd"/>
      <w:r>
        <w:t xml:space="preserve"> </w:t>
      </w:r>
      <w:proofErr w:type="spellStart"/>
      <w:r>
        <w:t>eksponering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dabigatran</w:t>
      </w:r>
      <w:proofErr w:type="spellEnd"/>
      <w:r>
        <w:t>.</w:t>
      </w:r>
    </w:p>
    <w:p w14:paraId="5594BF80" w14:textId="1B65E042" w:rsidR="008C7377" w:rsidRDefault="008C7377" w:rsidP="008C7377">
      <w:proofErr w:type="spellStart"/>
      <w:r>
        <w:t>Hvis</w:t>
      </w:r>
      <w:proofErr w:type="spellEnd"/>
      <w:r>
        <w:t xml:space="preserve"> der </w:t>
      </w:r>
      <w:proofErr w:type="spellStart"/>
      <w:r>
        <w:t>opstår</w:t>
      </w:r>
      <w:proofErr w:type="spellEnd"/>
      <w:r>
        <w:t xml:space="preserve"> </w:t>
      </w:r>
      <w:proofErr w:type="spellStart"/>
      <w:r>
        <w:t>klinisk</w:t>
      </w:r>
      <w:proofErr w:type="spellEnd"/>
      <w:r>
        <w:t xml:space="preserve"> relevant </w:t>
      </w:r>
      <w:proofErr w:type="spellStart"/>
      <w:r>
        <w:t>blødning</w:t>
      </w:r>
      <w:proofErr w:type="spellEnd"/>
      <w:r>
        <w:t xml:space="preserve">, </w:t>
      </w:r>
      <w:proofErr w:type="spellStart"/>
      <w:r>
        <w:t>skal</w:t>
      </w:r>
      <w:proofErr w:type="spellEnd"/>
      <w:r>
        <w:t xml:space="preserve"> </w:t>
      </w:r>
      <w:proofErr w:type="spellStart"/>
      <w:r>
        <w:t>behandlingen</w:t>
      </w:r>
      <w:proofErr w:type="spellEnd"/>
      <w:r>
        <w:t xml:space="preserve"> </w:t>
      </w:r>
      <w:proofErr w:type="spellStart"/>
      <w:r>
        <w:t>seponeres</w:t>
      </w:r>
      <w:proofErr w:type="spellEnd"/>
      <w:r>
        <w:t>.</w:t>
      </w:r>
    </w:p>
    <w:p w14:paraId="468369EA" w14:textId="6EF0D2F2" w:rsidR="008C7377" w:rsidRDefault="008C7377" w:rsidP="008C7377">
      <w:proofErr w:type="spellStart"/>
      <w:r>
        <w:t>Hvis</w:t>
      </w:r>
      <w:proofErr w:type="spellEnd"/>
      <w:r>
        <w:t xml:space="preserve"> hurtig </w:t>
      </w:r>
      <w:proofErr w:type="spellStart"/>
      <w:r>
        <w:t>reversering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dabigatran's</w:t>
      </w:r>
      <w:proofErr w:type="spellEnd"/>
      <w:r>
        <w:t xml:space="preserve"> </w:t>
      </w:r>
      <w:proofErr w:type="spellStart"/>
      <w:r>
        <w:t>antikoagulerende</w:t>
      </w:r>
      <w:proofErr w:type="spellEnd"/>
      <w:r>
        <w:t xml:space="preserve"> </w:t>
      </w:r>
      <w:proofErr w:type="spellStart"/>
      <w:r>
        <w:t>virkning</w:t>
      </w:r>
      <w:proofErr w:type="spellEnd"/>
      <w:r>
        <w:t xml:space="preserve"> er </w:t>
      </w:r>
      <w:proofErr w:type="spellStart"/>
      <w:r>
        <w:t>nødvendig</w:t>
      </w:r>
      <w:proofErr w:type="spellEnd"/>
      <w:r>
        <w:t xml:space="preserve"> i </w:t>
      </w:r>
      <w:proofErr w:type="spellStart"/>
      <w:r>
        <w:t>situationer</w:t>
      </w:r>
      <w:proofErr w:type="spellEnd"/>
      <w:r>
        <w:t xml:space="preserve"> med </w:t>
      </w:r>
      <w:proofErr w:type="spellStart"/>
      <w:r>
        <w:t>livstruende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ukontrollabel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, er en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modgift</w:t>
      </w:r>
      <w:proofErr w:type="spellEnd"/>
      <w:r>
        <w:t xml:space="preserve"> (</w:t>
      </w:r>
      <w:proofErr w:type="spellStart"/>
      <w:r>
        <w:t>idarucizumab</w:t>
      </w:r>
      <w:proofErr w:type="spellEnd"/>
      <w:r>
        <w:t xml:space="preserve">) </w:t>
      </w:r>
      <w:proofErr w:type="spellStart"/>
      <w:r>
        <w:t>tilgængelig</w:t>
      </w:r>
      <w:proofErr w:type="spellEnd"/>
      <w:r>
        <w:t>.</w:t>
      </w:r>
    </w:p>
    <w:p w14:paraId="3A831CBC" w14:textId="77777777" w:rsidR="008C7377" w:rsidRDefault="008C7377" w:rsidP="008C7377"/>
    <w:p w14:paraId="46531AC0" w14:textId="332BFDBF" w:rsidR="008659B7" w:rsidRDefault="008C7377" w:rsidP="008C7377">
      <w:pPr>
        <w:rPr>
          <w:b/>
          <w:bCs/>
        </w:rPr>
      </w:pPr>
      <w:proofErr w:type="spellStart"/>
      <w:r w:rsidRPr="00864DFA">
        <w:rPr>
          <w:b/>
          <w:bCs/>
        </w:rPr>
        <w:t>Tabel</w:t>
      </w:r>
      <w:proofErr w:type="spellEnd"/>
      <w:r w:rsidRPr="00864DFA">
        <w:rPr>
          <w:b/>
          <w:bCs/>
        </w:rPr>
        <w:t xml:space="preserve"> 1: </w:t>
      </w:r>
      <w:proofErr w:type="spellStart"/>
      <w:r w:rsidRPr="00864DFA">
        <w:rPr>
          <w:b/>
          <w:bCs/>
        </w:rPr>
        <w:t>Faktorer</w:t>
      </w:r>
      <w:proofErr w:type="spellEnd"/>
      <w:r w:rsidRPr="00864DFA">
        <w:rPr>
          <w:b/>
          <w:bCs/>
        </w:rPr>
        <w:t xml:space="preserve">, der </w:t>
      </w:r>
      <w:proofErr w:type="spellStart"/>
      <w:r w:rsidRPr="00864DFA">
        <w:rPr>
          <w:b/>
          <w:bCs/>
        </w:rPr>
        <w:t>kan</w:t>
      </w:r>
      <w:proofErr w:type="spellEnd"/>
      <w:r w:rsidRPr="00864DFA">
        <w:rPr>
          <w:b/>
          <w:bCs/>
        </w:rPr>
        <w:t xml:space="preserve"> </w:t>
      </w:r>
      <w:proofErr w:type="spellStart"/>
      <w:r w:rsidRPr="00864DFA">
        <w:rPr>
          <w:b/>
          <w:bCs/>
        </w:rPr>
        <w:t>øge</w:t>
      </w:r>
      <w:proofErr w:type="spellEnd"/>
      <w:r w:rsidRPr="00864DFA">
        <w:rPr>
          <w:b/>
          <w:bCs/>
        </w:rPr>
        <w:t xml:space="preserve"> </w:t>
      </w:r>
      <w:proofErr w:type="spellStart"/>
      <w:r w:rsidRPr="00864DFA">
        <w:rPr>
          <w:b/>
          <w:bCs/>
        </w:rPr>
        <w:t>risikoen</w:t>
      </w:r>
      <w:proofErr w:type="spellEnd"/>
      <w:r w:rsidRPr="00864DFA">
        <w:rPr>
          <w:b/>
          <w:bCs/>
        </w:rPr>
        <w:t xml:space="preserve"> </w:t>
      </w:r>
      <w:proofErr w:type="spellStart"/>
      <w:r w:rsidRPr="00864DFA">
        <w:rPr>
          <w:b/>
          <w:bCs/>
        </w:rPr>
        <w:t>for</w:t>
      </w:r>
      <w:proofErr w:type="spellEnd"/>
      <w:r w:rsidRPr="00864DFA">
        <w:rPr>
          <w:b/>
          <w:bCs/>
        </w:rPr>
        <w:t xml:space="preserve"> </w:t>
      </w:r>
      <w:proofErr w:type="spellStart"/>
      <w:r w:rsidRPr="00864DFA">
        <w:rPr>
          <w:b/>
          <w:bCs/>
        </w:rPr>
        <w:t>blødning</w:t>
      </w:r>
      <w:proofErr w:type="spellEnd"/>
      <w:r w:rsidRPr="00864DFA">
        <w:rPr>
          <w:b/>
          <w:bCs/>
        </w:rPr>
        <w:t>*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DFA" w14:paraId="1B4B642D" w14:textId="77777777" w:rsidTr="00864DFA">
        <w:tc>
          <w:tcPr>
            <w:tcW w:w="4531" w:type="dxa"/>
          </w:tcPr>
          <w:p w14:paraId="50CF0685" w14:textId="6785A7D8" w:rsidR="00864DFA" w:rsidRDefault="00864DFA" w:rsidP="008C7377">
            <w:proofErr w:type="spellStart"/>
            <w:r w:rsidRPr="00864DFA">
              <w:t>Farmakodynamiske</w:t>
            </w:r>
            <w:proofErr w:type="spellEnd"/>
            <w:r w:rsidRPr="00864DFA">
              <w:t xml:space="preserve"> </w:t>
            </w:r>
            <w:proofErr w:type="spellStart"/>
            <w:r w:rsidRPr="00864DFA">
              <w:t>og</w:t>
            </w:r>
            <w:proofErr w:type="spellEnd"/>
            <w:r w:rsidRPr="00864DFA">
              <w:t xml:space="preserve"> </w:t>
            </w:r>
            <w:proofErr w:type="spellStart"/>
            <w:r w:rsidRPr="00864DFA">
              <w:t>farmakokinetiske</w:t>
            </w:r>
            <w:proofErr w:type="spellEnd"/>
            <w:r w:rsidRPr="00864DFA">
              <w:t xml:space="preserve"> </w:t>
            </w:r>
            <w:proofErr w:type="spellStart"/>
            <w:r w:rsidRPr="00864DFA">
              <w:t>faktorer</w:t>
            </w:r>
            <w:proofErr w:type="spellEnd"/>
          </w:p>
        </w:tc>
        <w:tc>
          <w:tcPr>
            <w:tcW w:w="4531" w:type="dxa"/>
          </w:tcPr>
          <w:p w14:paraId="313A0E82" w14:textId="408B5FF9" w:rsidR="00864DFA" w:rsidRDefault="00864DFA" w:rsidP="008C7377">
            <w:r w:rsidRPr="00864DFA">
              <w:t xml:space="preserve">Alder ≥ 75 </w:t>
            </w:r>
            <w:proofErr w:type="spellStart"/>
            <w:r w:rsidRPr="00864DFA">
              <w:t>år</w:t>
            </w:r>
            <w:proofErr w:type="spellEnd"/>
          </w:p>
        </w:tc>
      </w:tr>
      <w:tr w:rsidR="00864DFA" w14:paraId="25E1C848" w14:textId="77777777" w:rsidTr="00864DFA">
        <w:tc>
          <w:tcPr>
            <w:tcW w:w="4531" w:type="dxa"/>
          </w:tcPr>
          <w:p w14:paraId="364EC8BF" w14:textId="3AE7BF0D" w:rsidR="00864DFA" w:rsidRDefault="00864DFA" w:rsidP="008C7377">
            <w:proofErr w:type="spellStart"/>
            <w:r w:rsidRPr="00864DFA">
              <w:t>Faktorer</w:t>
            </w:r>
            <w:proofErr w:type="spellEnd"/>
            <w:r w:rsidRPr="00864DFA">
              <w:t xml:space="preserve">, der </w:t>
            </w:r>
            <w:proofErr w:type="spellStart"/>
            <w:r w:rsidRPr="00864DFA">
              <w:t>øger</w:t>
            </w:r>
            <w:proofErr w:type="spellEnd"/>
            <w:r w:rsidRPr="00864DFA">
              <w:t xml:space="preserve"> </w:t>
            </w:r>
            <w:proofErr w:type="spellStart"/>
            <w:r w:rsidRPr="00864DFA">
              <w:t>plasmaniveauerne</w:t>
            </w:r>
            <w:proofErr w:type="spellEnd"/>
            <w:r w:rsidRPr="00864DFA">
              <w:t xml:space="preserve"> </w:t>
            </w:r>
            <w:proofErr w:type="spellStart"/>
            <w:r w:rsidRPr="00864DFA">
              <w:t>af</w:t>
            </w:r>
            <w:proofErr w:type="spellEnd"/>
            <w:r w:rsidRPr="00864DFA">
              <w:t xml:space="preserve"> </w:t>
            </w:r>
            <w:proofErr w:type="spellStart"/>
            <w:r w:rsidRPr="00864DFA">
              <w:t>dabigatran</w:t>
            </w:r>
            <w:proofErr w:type="spellEnd"/>
          </w:p>
        </w:tc>
        <w:tc>
          <w:tcPr>
            <w:tcW w:w="4531" w:type="dxa"/>
          </w:tcPr>
          <w:p w14:paraId="7CC99DD4" w14:textId="77777777" w:rsidR="00864DFA" w:rsidRPr="0079187C" w:rsidRDefault="00864DFA" w:rsidP="00864DFA">
            <w:pPr>
              <w:rPr>
                <w:b/>
                <w:bCs/>
              </w:rPr>
            </w:pPr>
            <w:proofErr w:type="spellStart"/>
            <w:r w:rsidRPr="0079187C">
              <w:rPr>
                <w:b/>
                <w:bCs/>
              </w:rPr>
              <w:t>Væsentlige</w:t>
            </w:r>
            <w:proofErr w:type="spellEnd"/>
            <w:r w:rsidRPr="0079187C">
              <w:rPr>
                <w:b/>
                <w:bCs/>
              </w:rPr>
              <w:t xml:space="preserve"> </w:t>
            </w:r>
            <w:proofErr w:type="spellStart"/>
            <w:r w:rsidRPr="0079187C">
              <w:rPr>
                <w:b/>
                <w:bCs/>
              </w:rPr>
              <w:t>risikofaktorer</w:t>
            </w:r>
            <w:proofErr w:type="spellEnd"/>
            <w:r w:rsidRPr="0079187C">
              <w:rPr>
                <w:b/>
                <w:bCs/>
              </w:rPr>
              <w:t>:</w:t>
            </w:r>
          </w:p>
          <w:p w14:paraId="5DB8C0E1" w14:textId="21339AA1" w:rsidR="00864DFA" w:rsidRDefault="00864DFA" w:rsidP="00864DFA">
            <w:r>
              <w:t xml:space="preserve">• Moderat </w:t>
            </w:r>
            <w:proofErr w:type="spellStart"/>
            <w:r>
              <w:t>nedsat</w:t>
            </w:r>
            <w:proofErr w:type="spellEnd"/>
            <w:r>
              <w:t xml:space="preserve"> </w:t>
            </w:r>
            <w:proofErr w:type="spellStart"/>
            <w:r>
              <w:t>nyrefunktion</w:t>
            </w:r>
            <w:proofErr w:type="spellEnd"/>
            <w:r>
              <w:t xml:space="preserve"> (</w:t>
            </w:r>
            <w:proofErr w:type="spellStart"/>
            <w:r>
              <w:t>CrCl</w:t>
            </w:r>
            <w:proofErr w:type="spellEnd"/>
            <w:r>
              <w:t>† 30-50 ml/min)</w:t>
            </w:r>
          </w:p>
          <w:p w14:paraId="13CC631D" w14:textId="5E53558E" w:rsidR="00864DFA" w:rsidRDefault="00864DFA" w:rsidP="00864DFA">
            <w:r>
              <w:t xml:space="preserve">• </w:t>
            </w:r>
            <w:proofErr w:type="spellStart"/>
            <w:r>
              <w:t>Stærke</w:t>
            </w:r>
            <w:proofErr w:type="spellEnd"/>
            <w:r>
              <w:t xml:space="preserve"> P-</w:t>
            </w:r>
            <w:proofErr w:type="spellStart"/>
            <w:r>
              <w:t>glycoproteinhæmmere</w:t>
            </w:r>
            <w:proofErr w:type="spellEnd"/>
            <w:r>
              <w:t xml:space="preserve"> (se </w:t>
            </w:r>
            <w:proofErr w:type="spellStart"/>
            <w:r>
              <w:t>afsnittet</w:t>
            </w:r>
            <w:proofErr w:type="spellEnd"/>
            <w:r>
              <w:t xml:space="preserve"> </w:t>
            </w:r>
            <w:proofErr w:type="spellStart"/>
            <w:r>
              <w:t>kontraindikationer</w:t>
            </w:r>
            <w:proofErr w:type="spellEnd"/>
            <w:r>
              <w:t>)</w:t>
            </w:r>
          </w:p>
          <w:p w14:paraId="23030E2D" w14:textId="47E1CF4B" w:rsidR="00864DFA" w:rsidRDefault="00B7496C" w:rsidP="00864DFA">
            <w:r>
              <w:t xml:space="preserve">• </w:t>
            </w:r>
            <w:proofErr w:type="spellStart"/>
            <w:r>
              <w:t>Samtidig</w:t>
            </w:r>
            <w:proofErr w:type="spellEnd"/>
            <w:r>
              <w:t xml:space="preserve"> </w:t>
            </w:r>
            <w:proofErr w:type="spellStart"/>
            <w:r>
              <w:t>behandling</w:t>
            </w:r>
            <w:proofErr w:type="spellEnd"/>
            <w:r>
              <w:t xml:space="preserve"> med milde </w:t>
            </w:r>
            <w:proofErr w:type="spellStart"/>
            <w:r>
              <w:t>til</w:t>
            </w:r>
            <w:proofErr w:type="spellEnd"/>
            <w:r>
              <w:t xml:space="preserve"> moderate P-</w:t>
            </w:r>
            <w:proofErr w:type="spellStart"/>
            <w:r>
              <w:t>glycoproteinhæmmere</w:t>
            </w:r>
            <w:proofErr w:type="spellEnd"/>
            <w:r>
              <w:t xml:space="preserve"> (</w:t>
            </w:r>
            <w:proofErr w:type="spellStart"/>
            <w:r>
              <w:t>f.eks</w:t>
            </w:r>
            <w:proofErr w:type="spellEnd"/>
            <w:r>
              <w:t xml:space="preserve">. </w:t>
            </w:r>
            <w:proofErr w:type="spellStart"/>
            <w:r>
              <w:t>amiodaron</w:t>
            </w:r>
            <w:proofErr w:type="spellEnd"/>
            <w:r>
              <w:t xml:space="preserve">, </w:t>
            </w:r>
            <w:proofErr w:type="spellStart"/>
            <w:r>
              <w:t>verapamil</w:t>
            </w:r>
            <w:proofErr w:type="spellEnd"/>
            <w:r>
              <w:t xml:space="preserve">, </w:t>
            </w:r>
            <w:proofErr w:type="spellStart"/>
            <w:r>
              <w:t>quinidin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ticagrelor</w:t>
            </w:r>
            <w:proofErr w:type="spellEnd"/>
            <w:r>
              <w:t>)</w:t>
            </w:r>
          </w:p>
          <w:p w14:paraId="4743A87E" w14:textId="77777777" w:rsidR="00864DFA" w:rsidRPr="0079187C" w:rsidRDefault="00864DFA" w:rsidP="00864DFA">
            <w:pPr>
              <w:rPr>
                <w:b/>
                <w:bCs/>
              </w:rPr>
            </w:pPr>
            <w:r w:rsidRPr="0079187C">
              <w:rPr>
                <w:b/>
                <w:bCs/>
              </w:rPr>
              <w:t xml:space="preserve">Mindre </w:t>
            </w:r>
            <w:proofErr w:type="spellStart"/>
            <w:r w:rsidRPr="0079187C">
              <w:rPr>
                <w:b/>
                <w:bCs/>
              </w:rPr>
              <w:t>risikofaktorer</w:t>
            </w:r>
            <w:proofErr w:type="spellEnd"/>
            <w:r w:rsidRPr="0079187C">
              <w:rPr>
                <w:b/>
                <w:bCs/>
              </w:rPr>
              <w:t>:</w:t>
            </w:r>
          </w:p>
          <w:p w14:paraId="07781C49" w14:textId="15AE8548" w:rsidR="00864DFA" w:rsidRDefault="00864DFA" w:rsidP="00864DFA">
            <w:r>
              <w:t xml:space="preserve">• </w:t>
            </w:r>
            <w:proofErr w:type="spellStart"/>
            <w:r>
              <w:t>Lav</w:t>
            </w:r>
            <w:proofErr w:type="spellEnd"/>
            <w:r>
              <w:t xml:space="preserve"> </w:t>
            </w:r>
            <w:proofErr w:type="spellStart"/>
            <w:r>
              <w:t>kropsvægt</w:t>
            </w:r>
            <w:proofErr w:type="spellEnd"/>
            <w:r>
              <w:t xml:space="preserve"> (&lt; 50 kg)</w:t>
            </w:r>
          </w:p>
        </w:tc>
      </w:tr>
      <w:tr w:rsidR="00A24445" w14:paraId="1F377FFD" w14:textId="77777777" w:rsidTr="00A24445">
        <w:tc>
          <w:tcPr>
            <w:tcW w:w="4531" w:type="dxa"/>
          </w:tcPr>
          <w:p w14:paraId="4C0F7274" w14:textId="5D51CCB9" w:rsidR="00A24445" w:rsidRDefault="00A24445" w:rsidP="008C7377">
            <w:proofErr w:type="spellStart"/>
            <w:r w:rsidRPr="00A24445">
              <w:t>Farmakodynamiske</w:t>
            </w:r>
            <w:proofErr w:type="spellEnd"/>
            <w:r w:rsidRPr="00A24445">
              <w:t xml:space="preserve"> </w:t>
            </w:r>
            <w:proofErr w:type="spellStart"/>
            <w:r w:rsidRPr="00A24445">
              <w:t>interaktioner</w:t>
            </w:r>
            <w:proofErr w:type="spellEnd"/>
          </w:p>
        </w:tc>
        <w:tc>
          <w:tcPr>
            <w:tcW w:w="4531" w:type="dxa"/>
          </w:tcPr>
          <w:p w14:paraId="34E4FDD3" w14:textId="2224CEEC" w:rsidR="00A24445" w:rsidRDefault="00A24445" w:rsidP="00A24445">
            <w:r>
              <w:t xml:space="preserve">• </w:t>
            </w:r>
            <w:proofErr w:type="spellStart"/>
            <w:r>
              <w:t>Acetylsalicylsyre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andre </w:t>
            </w:r>
            <w:proofErr w:type="spellStart"/>
            <w:r>
              <w:t>trombocythæmmende</w:t>
            </w:r>
            <w:proofErr w:type="spellEnd"/>
            <w:r>
              <w:t xml:space="preserve"> </w:t>
            </w:r>
            <w:proofErr w:type="spellStart"/>
            <w:r>
              <w:t>lægemidler</w:t>
            </w:r>
            <w:proofErr w:type="spellEnd"/>
            <w:r>
              <w:t xml:space="preserve"> </w:t>
            </w:r>
            <w:proofErr w:type="spellStart"/>
            <w:r>
              <w:t>såsom</w:t>
            </w:r>
            <w:proofErr w:type="spellEnd"/>
            <w:r>
              <w:t xml:space="preserve"> </w:t>
            </w:r>
            <w:proofErr w:type="spellStart"/>
            <w:r>
              <w:t>clopidogrel</w:t>
            </w:r>
            <w:proofErr w:type="spellEnd"/>
          </w:p>
          <w:p w14:paraId="4FEA62D7" w14:textId="29664DE9" w:rsidR="00A24445" w:rsidRDefault="00855351" w:rsidP="00A24445">
            <w:r>
              <w:t>• NSAID†</w:t>
            </w:r>
          </w:p>
          <w:p w14:paraId="6DDEAE1D" w14:textId="18731724" w:rsidR="00A24445" w:rsidRDefault="00A24445" w:rsidP="00A24445">
            <w:r>
              <w:t xml:space="preserve">• </w:t>
            </w:r>
            <w:proofErr w:type="spellStart"/>
            <w:r>
              <w:t>SSRI'er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SNRI'er</w:t>
            </w:r>
            <w:proofErr w:type="spellEnd"/>
            <w:r>
              <w:t>†</w:t>
            </w:r>
          </w:p>
          <w:p w14:paraId="07A6A5E9" w14:textId="58F3B9A6" w:rsidR="00A24445" w:rsidRDefault="00A24445" w:rsidP="00A24445">
            <w:r>
              <w:t xml:space="preserve">• Andre </w:t>
            </w:r>
            <w:proofErr w:type="spellStart"/>
            <w:r>
              <w:t>lægemidler</w:t>
            </w:r>
            <w:proofErr w:type="spellEnd"/>
            <w:r>
              <w:t xml:space="preserve">, der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interferere</w:t>
            </w:r>
            <w:proofErr w:type="spellEnd"/>
            <w:r>
              <w:t xml:space="preserve"> med </w:t>
            </w:r>
            <w:proofErr w:type="spellStart"/>
            <w:r>
              <w:t>hæmostase</w:t>
            </w:r>
            <w:proofErr w:type="spellEnd"/>
          </w:p>
        </w:tc>
      </w:tr>
      <w:tr w:rsidR="00A24445" w14:paraId="2A68F640" w14:textId="77777777" w:rsidTr="00A24445">
        <w:tc>
          <w:tcPr>
            <w:tcW w:w="4531" w:type="dxa"/>
          </w:tcPr>
          <w:p w14:paraId="2F35C40F" w14:textId="2BE299D8" w:rsidR="00A24445" w:rsidRDefault="00A24445" w:rsidP="008C7377">
            <w:proofErr w:type="spellStart"/>
            <w:r w:rsidRPr="00A24445">
              <w:t>Sygdomme</w:t>
            </w:r>
            <w:proofErr w:type="spellEnd"/>
            <w:r w:rsidRPr="00A24445">
              <w:t>/</w:t>
            </w:r>
            <w:proofErr w:type="spellStart"/>
            <w:r w:rsidRPr="00A24445">
              <w:t>indgreb</w:t>
            </w:r>
            <w:proofErr w:type="spellEnd"/>
            <w:r w:rsidRPr="00A24445">
              <w:t xml:space="preserve"> med </w:t>
            </w:r>
            <w:proofErr w:type="spellStart"/>
            <w:r w:rsidRPr="00A24445">
              <w:t>særlig</w:t>
            </w:r>
            <w:proofErr w:type="spellEnd"/>
            <w:r w:rsidRPr="00A24445">
              <w:t xml:space="preserve"> </w:t>
            </w:r>
            <w:proofErr w:type="spellStart"/>
            <w:r w:rsidRPr="00A24445">
              <w:t>risiko</w:t>
            </w:r>
            <w:proofErr w:type="spellEnd"/>
            <w:r w:rsidRPr="00A24445">
              <w:t xml:space="preserve"> </w:t>
            </w:r>
            <w:proofErr w:type="spellStart"/>
            <w:r w:rsidRPr="00A24445">
              <w:t>for</w:t>
            </w:r>
            <w:proofErr w:type="spellEnd"/>
            <w:r w:rsidRPr="00A24445">
              <w:t xml:space="preserve"> </w:t>
            </w:r>
            <w:proofErr w:type="spellStart"/>
            <w:r w:rsidRPr="00A24445">
              <w:t>blødning</w:t>
            </w:r>
            <w:proofErr w:type="spellEnd"/>
          </w:p>
        </w:tc>
        <w:tc>
          <w:tcPr>
            <w:tcW w:w="4531" w:type="dxa"/>
          </w:tcPr>
          <w:p w14:paraId="5ED0F54B" w14:textId="5BCE4F0A" w:rsidR="00A24445" w:rsidRDefault="00A24445" w:rsidP="00A24445">
            <w:r>
              <w:t xml:space="preserve">• </w:t>
            </w:r>
            <w:proofErr w:type="spellStart"/>
            <w:r>
              <w:t>Medfødte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erhvervede</w:t>
            </w:r>
            <w:proofErr w:type="spellEnd"/>
            <w:r>
              <w:t xml:space="preserve"> </w:t>
            </w:r>
            <w:proofErr w:type="spellStart"/>
            <w:r>
              <w:t>koagulationsforstyrrelser</w:t>
            </w:r>
            <w:proofErr w:type="spellEnd"/>
          </w:p>
          <w:p w14:paraId="115F1C5C" w14:textId="1B3CAE85" w:rsidR="00A24445" w:rsidRDefault="00A24445" w:rsidP="00A24445">
            <w:r>
              <w:t xml:space="preserve">• </w:t>
            </w:r>
            <w:proofErr w:type="spellStart"/>
            <w:r>
              <w:t>Trombocytopeni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funktionelle </w:t>
            </w:r>
            <w:proofErr w:type="spellStart"/>
            <w:r>
              <w:t>blodpladedefekter</w:t>
            </w:r>
            <w:proofErr w:type="spellEnd"/>
          </w:p>
          <w:p w14:paraId="08CFAE4C" w14:textId="5022EB9D" w:rsidR="00A24445" w:rsidRDefault="00A24445" w:rsidP="00A24445">
            <w:r>
              <w:t xml:space="preserve">• </w:t>
            </w:r>
            <w:proofErr w:type="spellStart"/>
            <w:r>
              <w:t>Nylig</w:t>
            </w:r>
            <w:proofErr w:type="spellEnd"/>
            <w:r>
              <w:t xml:space="preserve"> </w:t>
            </w:r>
            <w:proofErr w:type="spellStart"/>
            <w:r>
              <w:t>biopsi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nyligt</w:t>
            </w:r>
            <w:proofErr w:type="spellEnd"/>
            <w:r>
              <w:t xml:space="preserve"> </w:t>
            </w:r>
            <w:proofErr w:type="spellStart"/>
            <w:r>
              <w:t>alvorligt</w:t>
            </w:r>
            <w:proofErr w:type="spellEnd"/>
            <w:r>
              <w:t xml:space="preserve"> </w:t>
            </w:r>
            <w:proofErr w:type="spellStart"/>
            <w:r>
              <w:t>traume</w:t>
            </w:r>
            <w:proofErr w:type="spellEnd"/>
          </w:p>
          <w:p w14:paraId="225E47EB" w14:textId="679725A4" w:rsidR="00A24445" w:rsidRDefault="00A24445" w:rsidP="00A24445">
            <w:r>
              <w:t xml:space="preserve">• </w:t>
            </w:r>
            <w:proofErr w:type="spellStart"/>
            <w:r>
              <w:t>Bakteriel</w:t>
            </w:r>
            <w:proofErr w:type="spellEnd"/>
            <w:r>
              <w:t xml:space="preserve"> </w:t>
            </w:r>
            <w:proofErr w:type="spellStart"/>
            <w:r>
              <w:t>endokarditis</w:t>
            </w:r>
            <w:proofErr w:type="spellEnd"/>
          </w:p>
          <w:p w14:paraId="3CAF414D" w14:textId="0EA6AC1D" w:rsidR="00A24445" w:rsidRDefault="00A24445" w:rsidP="00A24445">
            <w:r>
              <w:t xml:space="preserve">• </w:t>
            </w:r>
            <w:proofErr w:type="spellStart"/>
            <w:r>
              <w:t>Esophagitis</w:t>
            </w:r>
            <w:proofErr w:type="spellEnd"/>
            <w:r>
              <w:t xml:space="preserve">, </w:t>
            </w:r>
            <w:proofErr w:type="spellStart"/>
            <w:r>
              <w:t>gastritis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</w:t>
            </w:r>
            <w:proofErr w:type="spellStart"/>
            <w:r>
              <w:t>gastroøsofageal</w:t>
            </w:r>
            <w:proofErr w:type="spellEnd"/>
            <w:r>
              <w:t xml:space="preserve"> </w:t>
            </w:r>
            <w:proofErr w:type="spellStart"/>
            <w:r>
              <w:t>refluks</w:t>
            </w:r>
            <w:proofErr w:type="spellEnd"/>
          </w:p>
        </w:tc>
      </w:tr>
    </w:tbl>
    <w:p w14:paraId="26A5F4EE" w14:textId="784DEE72" w:rsidR="00265906" w:rsidRDefault="00265906" w:rsidP="00265906">
      <w:r>
        <w:t xml:space="preserve">*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specifikke</w:t>
      </w:r>
      <w:proofErr w:type="spellEnd"/>
      <w:r>
        <w:t xml:space="preserve"> </w:t>
      </w:r>
      <w:proofErr w:type="spellStart"/>
      <w:r>
        <w:t>patientpopulationer</w:t>
      </w:r>
      <w:proofErr w:type="spellEnd"/>
      <w:r>
        <w:t xml:space="preserve">, der </w:t>
      </w:r>
      <w:proofErr w:type="spellStart"/>
      <w:r>
        <w:t>kræver</w:t>
      </w:r>
      <w:proofErr w:type="spellEnd"/>
      <w:r>
        <w:t xml:space="preserve"> en </w:t>
      </w:r>
      <w:proofErr w:type="spellStart"/>
      <w:r>
        <w:t>reduceret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, se </w:t>
      </w:r>
      <w:proofErr w:type="spellStart"/>
      <w:r>
        <w:t>afsnittet</w:t>
      </w:r>
      <w:proofErr w:type="spellEnd"/>
      <w:r>
        <w:t xml:space="preserve"> </w:t>
      </w:r>
      <w:proofErr w:type="spellStart"/>
      <w:r>
        <w:t>Dosering</w:t>
      </w:r>
      <w:proofErr w:type="spellEnd"/>
      <w:r>
        <w:t>.</w:t>
      </w:r>
    </w:p>
    <w:p w14:paraId="2E58BBB7" w14:textId="245A606C" w:rsidR="00A24445" w:rsidRDefault="00855351" w:rsidP="00265906">
      <w:r w:rsidRPr="00B23689">
        <w:t xml:space="preserve">† </w:t>
      </w:r>
      <w:proofErr w:type="spellStart"/>
      <w:r w:rsidRPr="00B23689">
        <w:t>CrCL</w:t>
      </w:r>
      <w:proofErr w:type="spellEnd"/>
      <w:r w:rsidRPr="00B23689">
        <w:t xml:space="preserve">: </w:t>
      </w:r>
      <w:proofErr w:type="spellStart"/>
      <w:r w:rsidRPr="00B23689">
        <w:t>kreatininclearance</w:t>
      </w:r>
      <w:proofErr w:type="spellEnd"/>
      <w:r w:rsidRPr="00B23689">
        <w:t xml:space="preserve">; </w:t>
      </w:r>
      <w:proofErr w:type="spellStart"/>
      <w:r w:rsidRPr="00B23689">
        <w:t>NSAID'er</w:t>
      </w:r>
      <w:proofErr w:type="spellEnd"/>
      <w:r w:rsidRPr="00B23689">
        <w:t xml:space="preserve">: </w:t>
      </w:r>
      <w:proofErr w:type="spellStart"/>
      <w:r w:rsidRPr="00B23689">
        <w:t>ikke</w:t>
      </w:r>
      <w:proofErr w:type="spellEnd"/>
      <w:r w:rsidRPr="00B23689">
        <w:t xml:space="preserve">-steroide </w:t>
      </w:r>
      <w:proofErr w:type="spellStart"/>
      <w:r w:rsidRPr="00B23689">
        <w:t>antiinflammatoriske</w:t>
      </w:r>
      <w:proofErr w:type="spellEnd"/>
      <w:r w:rsidRPr="00B23689">
        <w:t xml:space="preserve"> </w:t>
      </w:r>
      <w:proofErr w:type="spellStart"/>
      <w:r w:rsidRPr="00B23689">
        <w:t>lægemidler</w:t>
      </w:r>
      <w:proofErr w:type="spellEnd"/>
      <w:r w:rsidRPr="00B23689">
        <w:t xml:space="preserve">; </w:t>
      </w:r>
      <w:proofErr w:type="spellStart"/>
      <w:r w:rsidRPr="00B23689">
        <w:t>SSRI'er</w:t>
      </w:r>
      <w:proofErr w:type="spellEnd"/>
      <w:r w:rsidRPr="00B23689">
        <w:t xml:space="preserve">: Selektive </w:t>
      </w:r>
      <w:proofErr w:type="spellStart"/>
      <w:r w:rsidRPr="00B23689">
        <w:t>serotonin</w:t>
      </w:r>
      <w:proofErr w:type="spellEnd"/>
      <w:r w:rsidRPr="00B23689">
        <w:t xml:space="preserve"> </w:t>
      </w:r>
      <w:proofErr w:type="spellStart"/>
      <w:r w:rsidRPr="00B23689">
        <w:t>genoptagelseshæmmere</w:t>
      </w:r>
      <w:proofErr w:type="spellEnd"/>
      <w:r w:rsidRPr="00B23689">
        <w:t xml:space="preserve">; SNRI: Serotonin-noradrenalin </w:t>
      </w:r>
      <w:proofErr w:type="spellStart"/>
      <w:r w:rsidRPr="00B23689">
        <w:t>reuptake</w:t>
      </w:r>
      <w:proofErr w:type="spellEnd"/>
      <w:r w:rsidRPr="00B23689">
        <w:t xml:space="preserve"> </w:t>
      </w:r>
      <w:proofErr w:type="spellStart"/>
      <w:r w:rsidRPr="00B23689">
        <w:t>hæmmere</w:t>
      </w:r>
      <w:proofErr w:type="spellEnd"/>
      <w:r w:rsidRPr="00B23689">
        <w:t>.</w:t>
      </w:r>
    </w:p>
    <w:p w14:paraId="57392B08" w14:textId="5631A514" w:rsidR="00690BCB" w:rsidRDefault="00690BCB">
      <w:r>
        <w:br w:type="page"/>
      </w:r>
    </w:p>
    <w:p w14:paraId="41D1036E" w14:textId="7D48F117" w:rsidR="0079187C" w:rsidRPr="0079187C" w:rsidRDefault="0079187C" w:rsidP="008C7377">
      <w:pPr>
        <w:rPr>
          <w:b/>
          <w:bCs/>
          <w:sz w:val="28"/>
          <w:szCs w:val="28"/>
        </w:rPr>
      </w:pPr>
      <w:bookmarkStart w:id="9" w:name="_Toc161921298"/>
      <w:r w:rsidRPr="006D3808">
        <w:rPr>
          <w:rStyle w:val="Overskrift1Tegn"/>
        </w:rPr>
        <w:lastRenderedPageBreak/>
        <w:t xml:space="preserve">Perioperativ </w:t>
      </w:r>
      <w:proofErr w:type="spellStart"/>
      <w:r w:rsidRPr="006D3808">
        <w:rPr>
          <w:rStyle w:val="Overskrift1Tegn"/>
        </w:rPr>
        <w:t>behandling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af</w:t>
      </w:r>
      <w:proofErr w:type="spellEnd"/>
      <w:r w:rsidRPr="006D3808">
        <w:rPr>
          <w:rStyle w:val="Overskrift1Tegn"/>
        </w:rPr>
        <w:t xml:space="preserve"> antikoagulation</w:t>
      </w:r>
      <w:bookmarkEnd w:id="9"/>
      <w:r w:rsidRPr="0079187C">
        <w:rPr>
          <w:b/>
          <w:bCs/>
          <w:sz w:val="28"/>
          <w:szCs w:val="28"/>
          <w:vertAlign w:val="superscript"/>
        </w:rPr>
        <w:t>1</w:t>
      </w:r>
    </w:p>
    <w:p w14:paraId="670EF025" w14:textId="4F2AC2B4" w:rsidR="0079187C" w:rsidRDefault="0079187C" w:rsidP="00B8420D">
      <w:pPr>
        <w:rPr>
          <w:b/>
          <w:bCs/>
        </w:rPr>
      </w:pPr>
      <w:proofErr w:type="spellStart"/>
      <w:r w:rsidRPr="0079187C">
        <w:rPr>
          <w:b/>
          <w:bCs/>
        </w:rPr>
        <w:t>Kirurgiske</w:t>
      </w:r>
      <w:proofErr w:type="spellEnd"/>
      <w:r w:rsidRPr="0079187C">
        <w:rPr>
          <w:b/>
          <w:bCs/>
        </w:rPr>
        <w:t xml:space="preserve"> </w:t>
      </w:r>
      <w:proofErr w:type="spellStart"/>
      <w:r w:rsidRPr="0079187C">
        <w:rPr>
          <w:b/>
          <w:bCs/>
        </w:rPr>
        <w:t>og</w:t>
      </w:r>
      <w:proofErr w:type="spellEnd"/>
      <w:r w:rsidRPr="0079187C">
        <w:rPr>
          <w:b/>
          <w:bCs/>
        </w:rPr>
        <w:t xml:space="preserve"> invasive </w:t>
      </w:r>
      <w:proofErr w:type="spellStart"/>
      <w:r w:rsidRPr="0079187C">
        <w:rPr>
          <w:b/>
          <w:bCs/>
        </w:rPr>
        <w:t>indgreb</w:t>
      </w:r>
      <w:proofErr w:type="spellEnd"/>
    </w:p>
    <w:p w14:paraId="23E7112A" w14:textId="251931D6" w:rsidR="00B8420D" w:rsidRDefault="00653B7D" w:rsidP="00B8420D">
      <w:proofErr w:type="spellStart"/>
      <w:r w:rsidRPr="00653B7D">
        <w:t>Patienter</w:t>
      </w:r>
      <w:proofErr w:type="spellEnd"/>
      <w:r w:rsidRPr="00653B7D">
        <w:t xml:space="preserve">, der </w:t>
      </w:r>
      <w:proofErr w:type="spellStart"/>
      <w:r w:rsidRPr="00653B7D">
        <w:t>gennemgår</w:t>
      </w:r>
      <w:proofErr w:type="spellEnd"/>
      <w:r w:rsidRPr="00653B7D">
        <w:t xml:space="preserve"> </w:t>
      </w:r>
      <w:proofErr w:type="spellStart"/>
      <w:r w:rsidRPr="00653B7D">
        <w:t>operation</w:t>
      </w:r>
      <w:proofErr w:type="spellEnd"/>
      <w:r w:rsidRPr="00653B7D">
        <w:t xml:space="preserve"> </w:t>
      </w:r>
      <w:proofErr w:type="spellStart"/>
      <w:r w:rsidRPr="00653B7D">
        <w:t>eller</w:t>
      </w:r>
      <w:proofErr w:type="spellEnd"/>
      <w:r w:rsidRPr="00653B7D">
        <w:t xml:space="preserve"> invasive </w:t>
      </w:r>
      <w:proofErr w:type="spellStart"/>
      <w:r w:rsidRPr="00653B7D">
        <w:t>procedurer</w:t>
      </w:r>
      <w:proofErr w:type="spellEnd"/>
      <w:r w:rsidRPr="00653B7D">
        <w:t xml:space="preserve">, har en </w:t>
      </w:r>
      <w:proofErr w:type="spellStart"/>
      <w:r w:rsidRPr="00653B7D">
        <w:t>øget</w:t>
      </w:r>
      <w:proofErr w:type="spellEnd"/>
      <w:r w:rsidRPr="00653B7D">
        <w:t xml:space="preserve"> </w:t>
      </w:r>
      <w:proofErr w:type="spellStart"/>
      <w:r w:rsidRPr="00653B7D">
        <w:t>risiko</w:t>
      </w:r>
      <w:proofErr w:type="spellEnd"/>
      <w:r w:rsidRPr="00653B7D">
        <w:t xml:space="preserve"> </w:t>
      </w:r>
      <w:proofErr w:type="spellStart"/>
      <w:r w:rsidRPr="00653B7D">
        <w:t>for</w:t>
      </w:r>
      <w:proofErr w:type="spellEnd"/>
      <w:r w:rsidRPr="00653B7D">
        <w:t xml:space="preserve"> </w:t>
      </w:r>
      <w:proofErr w:type="spellStart"/>
      <w:r w:rsidRPr="00653B7D">
        <w:t>blødning</w:t>
      </w:r>
      <w:proofErr w:type="spellEnd"/>
      <w:r w:rsidRPr="00653B7D">
        <w:t xml:space="preserve">. </w:t>
      </w:r>
      <w:proofErr w:type="spellStart"/>
      <w:r w:rsidRPr="00653B7D">
        <w:t>Derfor</w:t>
      </w:r>
      <w:proofErr w:type="spellEnd"/>
      <w:r w:rsidRPr="00653B7D">
        <w:t xml:space="preserve"> </w:t>
      </w:r>
      <w:proofErr w:type="spellStart"/>
      <w:r w:rsidRPr="00653B7D">
        <w:t>kan</w:t>
      </w:r>
      <w:proofErr w:type="spellEnd"/>
      <w:r w:rsidRPr="00653B7D">
        <w:t xml:space="preserve"> </w:t>
      </w:r>
      <w:proofErr w:type="spellStart"/>
      <w:r w:rsidRPr="00653B7D">
        <w:t>midlertidig</w:t>
      </w:r>
      <w:proofErr w:type="spellEnd"/>
      <w:r w:rsidRPr="00653B7D">
        <w:t xml:space="preserve"> seponering </w:t>
      </w:r>
      <w:proofErr w:type="spellStart"/>
      <w:r w:rsidRPr="00653B7D">
        <w:t>af</w:t>
      </w:r>
      <w:proofErr w:type="spellEnd"/>
      <w:r w:rsidRPr="00653B7D">
        <w:t xml:space="preserve"> </w:t>
      </w:r>
      <w:proofErr w:type="spellStart"/>
      <w:r w:rsidRPr="00653B7D">
        <w:t>dabigatranetexilat</w:t>
      </w:r>
      <w:proofErr w:type="spellEnd"/>
      <w:r w:rsidRPr="00653B7D">
        <w:t xml:space="preserve"> </w:t>
      </w:r>
      <w:proofErr w:type="spellStart"/>
      <w:r w:rsidRPr="00653B7D">
        <w:t>være</w:t>
      </w:r>
      <w:proofErr w:type="spellEnd"/>
      <w:r w:rsidRPr="00653B7D">
        <w:t xml:space="preserve"> </w:t>
      </w:r>
      <w:proofErr w:type="spellStart"/>
      <w:r w:rsidRPr="00653B7D">
        <w:t>nødvendig</w:t>
      </w:r>
      <w:r w:rsidR="005F38C8">
        <w:t>t</w:t>
      </w:r>
      <w:proofErr w:type="spellEnd"/>
      <w:r w:rsidRPr="00653B7D">
        <w:t>.</w:t>
      </w:r>
    </w:p>
    <w:p w14:paraId="3A1B78B4" w14:textId="2E3E5D6D" w:rsidR="00B8420D" w:rsidRDefault="005F38C8" w:rsidP="00B8420D">
      <w:r w:rsidRPr="005F38C8">
        <w:t xml:space="preserve">Clearance </w:t>
      </w:r>
      <w:proofErr w:type="spellStart"/>
      <w:r w:rsidRPr="005F38C8">
        <w:t>af</w:t>
      </w:r>
      <w:proofErr w:type="spellEnd"/>
      <w:r w:rsidRPr="005F38C8">
        <w:t xml:space="preserve"> </w:t>
      </w:r>
      <w:proofErr w:type="spellStart"/>
      <w:r w:rsidRPr="005F38C8">
        <w:t>dabigatran</w:t>
      </w:r>
      <w:proofErr w:type="spellEnd"/>
      <w:r w:rsidRPr="005F38C8">
        <w:t xml:space="preserve"> </w:t>
      </w:r>
      <w:proofErr w:type="spellStart"/>
      <w:r w:rsidRPr="005F38C8">
        <w:t>kan</w:t>
      </w:r>
      <w:proofErr w:type="spellEnd"/>
      <w:r w:rsidRPr="005F38C8">
        <w:t xml:space="preserve"> tage </w:t>
      </w:r>
      <w:proofErr w:type="spellStart"/>
      <w:r w:rsidRPr="005F38C8">
        <w:t>længere</w:t>
      </w:r>
      <w:proofErr w:type="spellEnd"/>
      <w:r w:rsidRPr="005F38C8">
        <w:t xml:space="preserve"> </w:t>
      </w:r>
      <w:proofErr w:type="spellStart"/>
      <w:r w:rsidRPr="005F38C8">
        <w:t>tid</w:t>
      </w:r>
      <w:proofErr w:type="spellEnd"/>
      <w:r w:rsidRPr="005F38C8">
        <w:t xml:space="preserve"> </w:t>
      </w:r>
      <w:proofErr w:type="spellStart"/>
      <w:r w:rsidRPr="005F38C8">
        <w:t>hos</w:t>
      </w:r>
      <w:proofErr w:type="spellEnd"/>
      <w:r w:rsidRPr="005F38C8">
        <w:t xml:space="preserve"> </w:t>
      </w:r>
      <w:proofErr w:type="spellStart"/>
      <w:r w:rsidRPr="005F38C8">
        <w:t>patienter</w:t>
      </w:r>
      <w:proofErr w:type="spellEnd"/>
      <w:r w:rsidRPr="005F38C8">
        <w:t xml:space="preserve"> med </w:t>
      </w:r>
      <w:proofErr w:type="spellStart"/>
      <w:r w:rsidRPr="005F38C8">
        <w:t>nyreinsufficiens</w:t>
      </w:r>
      <w:proofErr w:type="spellEnd"/>
      <w:r w:rsidRPr="005F38C8">
        <w:t xml:space="preserve">. </w:t>
      </w:r>
      <w:proofErr w:type="spellStart"/>
      <w:r w:rsidRPr="005F38C8">
        <w:t>Dette</w:t>
      </w:r>
      <w:proofErr w:type="spellEnd"/>
      <w:r w:rsidRPr="005F38C8">
        <w:t xml:space="preserve"> </w:t>
      </w:r>
      <w:proofErr w:type="spellStart"/>
      <w:r w:rsidRPr="005F38C8">
        <w:t>bør</w:t>
      </w:r>
      <w:proofErr w:type="spellEnd"/>
      <w:r w:rsidRPr="005F38C8">
        <w:t xml:space="preserve"> </w:t>
      </w:r>
      <w:proofErr w:type="spellStart"/>
      <w:r w:rsidRPr="005F38C8">
        <w:t>altid</w:t>
      </w:r>
      <w:proofErr w:type="spellEnd"/>
      <w:r w:rsidRPr="005F38C8">
        <w:t xml:space="preserve"> </w:t>
      </w:r>
      <w:proofErr w:type="spellStart"/>
      <w:r w:rsidRPr="005F38C8">
        <w:t>tages</w:t>
      </w:r>
      <w:proofErr w:type="spellEnd"/>
      <w:r w:rsidRPr="005F38C8">
        <w:t xml:space="preserve"> i </w:t>
      </w:r>
      <w:proofErr w:type="spellStart"/>
      <w:r w:rsidRPr="005F38C8">
        <w:t>betragtning</w:t>
      </w:r>
      <w:proofErr w:type="spellEnd"/>
      <w:r w:rsidRPr="005F38C8">
        <w:t xml:space="preserve">, </w:t>
      </w:r>
      <w:proofErr w:type="spellStart"/>
      <w:r>
        <w:t>inden</w:t>
      </w:r>
      <w:proofErr w:type="spellEnd"/>
      <w:r>
        <w:t xml:space="preserve"> eventuelle </w:t>
      </w:r>
      <w:proofErr w:type="spellStart"/>
      <w:r>
        <w:t>indgreb</w:t>
      </w:r>
      <w:proofErr w:type="spellEnd"/>
      <w:r w:rsidRPr="005F38C8">
        <w:t>.</w:t>
      </w:r>
    </w:p>
    <w:p w14:paraId="4AF255F3" w14:textId="77777777" w:rsidR="00B8420D" w:rsidRDefault="00B8420D" w:rsidP="00B8420D"/>
    <w:p w14:paraId="4DD82CD5" w14:textId="77777777" w:rsidR="00B8420D" w:rsidRPr="00B8420D" w:rsidRDefault="00B8420D" w:rsidP="00B8420D">
      <w:pPr>
        <w:rPr>
          <w:b/>
          <w:bCs/>
        </w:rPr>
      </w:pPr>
      <w:proofErr w:type="spellStart"/>
      <w:r w:rsidRPr="00B8420D">
        <w:rPr>
          <w:b/>
          <w:bCs/>
        </w:rPr>
        <w:t>Nødoperationer</w:t>
      </w:r>
      <w:proofErr w:type="spellEnd"/>
      <w:r w:rsidRPr="00B8420D">
        <w:rPr>
          <w:b/>
          <w:bCs/>
        </w:rPr>
        <w:t xml:space="preserve"> </w:t>
      </w:r>
      <w:proofErr w:type="spellStart"/>
      <w:r w:rsidRPr="00B8420D">
        <w:rPr>
          <w:b/>
          <w:bCs/>
        </w:rPr>
        <w:t>eller</w:t>
      </w:r>
      <w:proofErr w:type="spellEnd"/>
      <w:r w:rsidRPr="00B8420D">
        <w:rPr>
          <w:b/>
          <w:bCs/>
        </w:rPr>
        <w:t xml:space="preserve"> </w:t>
      </w:r>
      <w:proofErr w:type="spellStart"/>
      <w:r w:rsidRPr="00B8420D">
        <w:rPr>
          <w:b/>
          <w:bCs/>
        </w:rPr>
        <w:t>hasteprocedurer</w:t>
      </w:r>
      <w:proofErr w:type="spellEnd"/>
    </w:p>
    <w:p w14:paraId="793CD43F" w14:textId="4CCF1368" w:rsidR="00B8420D" w:rsidRDefault="001F726A" w:rsidP="00B8420D">
      <w:proofErr w:type="spellStart"/>
      <w:r>
        <w:t>D</w:t>
      </w:r>
      <w:r w:rsidRPr="001F726A">
        <w:t>abigatranetexilat</w:t>
      </w:r>
      <w:proofErr w:type="spellEnd"/>
      <w:r w:rsidR="00B8420D">
        <w:t xml:space="preserve"> </w:t>
      </w:r>
      <w:proofErr w:type="spellStart"/>
      <w:r w:rsidR="00B8420D">
        <w:t>bør</w:t>
      </w:r>
      <w:proofErr w:type="spellEnd"/>
      <w:r w:rsidR="00B8420D">
        <w:t xml:space="preserve"> </w:t>
      </w:r>
      <w:proofErr w:type="spellStart"/>
      <w:r w:rsidR="00B8420D">
        <w:t>midlertidigt</w:t>
      </w:r>
      <w:proofErr w:type="spellEnd"/>
      <w:r w:rsidR="00B8420D">
        <w:t xml:space="preserve"> </w:t>
      </w:r>
      <w:proofErr w:type="spellStart"/>
      <w:r w:rsidR="00B8420D">
        <w:t>seponeres</w:t>
      </w:r>
      <w:proofErr w:type="spellEnd"/>
      <w:r w:rsidR="00B8420D">
        <w:t xml:space="preserve">. </w:t>
      </w:r>
      <w:proofErr w:type="spellStart"/>
      <w:r w:rsidR="00B8420D">
        <w:t>Hvis</w:t>
      </w:r>
      <w:proofErr w:type="spellEnd"/>
      <w:r w:rsidR="00B8420D">
        <w:t xml:space="preserve"> hurtig </w:t>
      </w:r>
      <w:proofErr w:type="spellStart"/>
      <w:r w:rsidR="00B8420D">
        <w:t>ophør</w:t>
      </w:r>
      <w:proofErr w:type="spellEnd"/>
      <w:r w:rsidR="00B8420D">
        <w:t xml:space="preserve"> </w:t>
      </w:r>
      <w:proofErr w:type="spellStart"/>
      <w:r w:rsidR="00B8420D">
        <w:t>af</w:t>
      </w:r>
      <w:proofErr w:type="spellEnd"/>
      <w:r w:rsidR="00B8420D">
        <w:t xml:space="preserve"> den </w:t>
      </w:r>
      <w:proofErr w:type="spellStart"/>
      <w:r w:rsidR="00B8420D">
        <w:t>antikoagulerende</w:t>
      </w:r>
      <w:proofErr w:type="spellEnd"/>
      <w:r w:rsidR="00B8420D">
        <w:t xml:space="preserve"> </w:t>
      </w:r>
      <w:proofErr w:type="spellStart"/>
      <w:r w:rsidR="00B8420D">
        <w:t>virkning</w:t>
      </w:r>
      <w:proofErr w:type="spellEnd"/>
      <w:r w:rsidR="00B8420D">
        <w:t xml:space="preserve"> er </w:t>
      </w:r>
      <w:proofErr w:type="spellStart"/>
      <w:r w:rsidR="00B8420D">
        <w:t>påkrævet</w:t>
      </w:r>
      <w:proofErr w:type="spellEnd"/>
      <w:r w:rsidR="00B8420D">
        <w:t xml:space="preserve">, er en </w:t>
      </w:r>
      <w:proofErr w:type="spellStart"/>
      <w:r w:rsidR="00B8420D">
        <w:t>specifik</w:t>
      </w:r>
      <w:proofErr w:type="spellEnd"/>
      <w:r w:rsidR="00B8420D">
        <w:t xml:space="preserve"> </w:t>
      </w:r>
      <w:proofErr w:type="spellStart"/>
      <w:r w:rsidR="00B8420D">
        <w:t>modgift</w:t>
      </w:r>
      <w:proofErr w:type="spellEnd"/>
      <w:r w:rsidR="00B8420D">
        <w:t xml:space="preserve"> (</w:t>
      </w:r>
      <w:proofErr w:type="spellStart"/>
      <w:r w:rsidR="00B8420D">
        <w:t>idarucizumab</w:t>
      </w:r>
      <w:proofErr w:type="spellEnd"/>
      <w:r w:rsidR="00B8420D">
        <w:t xml:space="preserve">) </w:t>
      </w:r>
      <w:proofErr w:type="spellStart"/>
      <w:r w:rsidR="00B8420D">
        <w:t>mod</w:t>
      </w:r>
      <w:proofErr w:type="spellEnd"/>
      <w:r w:rsidR="00B8420D">
        <w:t xml:space="preserve"> </w:t>
      </w:r>
      <w:proofErr w:type="spellStart"/>
      <w:r w:rsidR="00B8420D">
        <w:t>dabigatranetexilat</w:t>
      </w:r>
      <w:proofErr w:type="spellEnd"/>
      <w:r w:rsidR="00B8420D">
        <w:t xml:space="preserve"> </w:t>
      </w:r>
      <w:proofErr w:type="spellStart"/>
      <w:r w:rsidR="00B8420D">
        <w:t>tilgængelig</w:t>
      </w:r>
      <w:proofErr w:type="spellEnd"/>
      <w:r w:rsidR="00B8420D">
        <w:t>.</w:t>
      </w:r>
    </w:p>
    <w:p w14:paraId="2DA7722B" w14:textId="77777777" w:rsidR="00B8420D" w:rsidRDefault="00B8420D" w:rsidP="00B8420D">
      <w:proofErr w:type="spellStart"/>
      <w:r>
        <w:t>Ved</w:t>
      </w:r>
      <w:proofErr w:type="spellEnd"/>
      <w:r>
        <w:t xml:space="preserve"> at </w:t>
      </w:r>
      <w:proofErr w:type="spellStart"/>
      <w:r>
        <w:t>afbryde</w:t>
      </w:r>
      <w:proofErr w:type="spellEnd"/>
      <w:r>
        <w:t xml:space="preserve"> </w:t>
      </w:r>
      <w:proofErr w:type="spellStart"/>
      <w:r>
        <w:t>behandlingen</w:t>
      </w:r>
      <w:proofErr w:type="spellEnd"/>
      <w:r>
        <w:t xml:space="preserve"> med </w:t>
      </w:r>
      <w:proofErr w:type="spellStart"/>
      <w:r>
        <w:t>dabigatran</w:t>
      </w:r>
      <w:proofErr w:type="spellEnd"/>
      <w:r>
        <w:t xml:space="preserve"> </w:t>
      </w:r>
      <w:proofErr w:type="spellStart"/>
      <w:r>
        <w:t>udsættes</w:t>
      </w:r>
      <w:proofErr w:type="spellEnd"/>
      <w:r>
        <w:t xml:space="preserve"> </w:t>
      </w:r>
      <w:proofErr w:type="spellStart"/>
      <w:r>
        <w:t>patienterne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den </w:t>
      </w:r>
      <w:proofErr w:type="spellStart"/>
      <w:r>
        <w:t>trombotiske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deres</w:t>
      </w:r>
      <w:proofErr w:type="spellEnd"/>
      <w:r>
        <w:t xml:space="preserve"> </w:t>
      </w:r>
      <w:proofErr w:type="spellStart"/>
      <w:r>
        <w:t>underliggende</w:t>
      </w:r>
      <w:proofErr w:type="spellEnd"/>
      <w:r>
        <w:t xml:space="preserve"> </w:t>
      </w:r>
      <w:proofErr w:type="spellStart"/>
      <w:r>
        <w:t>sygdom</w:t>
      </w:r>
      <w:proofErr w:type="spellEnd"/>
      <w:r>
        <w:t xml:space="preserve">. </w:t>
      </w:r>
      <w:proofErr w:type="spellStart"/>
      <w:r>
        <w:t>Behandling</w:t>
      </w:r>
      <w:proofErr w:type="spellEnd"/>
      <w:r>
        <w:t xml:space="preserve"> med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genoptages</w:t>
      </w:r>
      <w:proofErr w:type="spellEnd"/>
      <w:r>
        <w:t xml:space="preserve"> 24 </w:t>
      </w:r>
      <w:proofErr w:type="spellStart"/>
      <w:r>
        <w:t>timer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idarucizumab</w:t>
      </w:r>
      <w:proofErr w:type="spellEnd"/>
      <w:r>
        <w:t xml:space="preserve">,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patienten</w:t>
      </w:r>
      <w:proofErr w:type="spellEnd"/>
      <w:r>
        <w:t xml:space="preserve"> er </w:t>
      </w:r>
      <w:proofErr w:type="spellStart"/>
      <w:r>
        <w:t>klinisk</w:t>
      </w:r>
      <w:proofErr w:type="spellEnd"/>
      <w:r>
        <w:t xml:space="preserve"> stabil, </w:t>
      </w:r>
      <w:proofErr w:type="spellStart"/>
      <w:r>
        <w:t>og</w:t>
      </w:r>
      <w:proofErr w:type="spellEnd"/>
      <w:r>
        <w:t xml:space="preserve"> der er </w:t>
      </w:r>
      <w:proofErr w:type="spellStart"/>
      <w:r>
        <w:t>opnået</w:t>
      </w:r>
      <w:proofErr w:type="spellEnd"/>
      <w:r>
        <w:t xml:space="preserve"> </w:t>
      </w:r>
      <w:proofErr w:type="spellStart"/>
      <w:r>
        <w:t>tilstrækkelig</w:t>
      </w:r>
      <w:proofErr w:type="spellEnd"/>
      <w:r>
        <w:t xml:space="preserve"> </w:t>
      </w:r>
      <w:proofErr w:type="spellStart"/>
      <w:r>
        <w:t>hæmostase</w:t>
      </w:r>
      <w:proofErr w:type="spellEnd"/>
      <w:r>
        <w:t>.</w:t>
      </w:r>
    </w:p>
    <w:p w14:paraId="0BD3AA13" w14:textId="77777777" w:rsidR="00B8420D" w:rsidRDefault="00B8420D" w:rsidP="00B8420D"/>
    <w:p w14:paraId="52305532" w14:textId="77777777" w:rsidR="00B8420D" w:rsidRPr="00B8420D" w:rsidRDefault="00B8420D" w:rsidP="00B8420D">
      <w:pPr>
        <w:rPr>
          <w:b/>
          <w:bCs/>
        </w:rPr>
      </w:pPr>
      <w:proofErr w:type="spellStart"/>
      <w:r w:rsidRPr="00B8420D">
        <w:rPr>
          <w:b/>
          <w:bCs/>
        </w:rPr>
        <w:t>Subakutte</w:t>
      </w:r>
      <w:proofErr w:type="spellEnd"/>
      <w:r w:rsidRPr="00B8420D">
        <w:rPr>
          <w:b/>
          <w:bCs/>
        </w:rPr>
        <w:t xml:space="preserve"> </w:t>
      </w:r>
      <w:proofErr w:type="spellStart"/>
      <w:r w:rsidRPr="00B8420D">
        <w:rPr>
          <w:b/>
          <w:bCs/>
        </w:rPr>
        <w:t>kirurgiske</w:t>
      </w:r>
      <w:proofErr w:type="spellEnd"/>
      <w:r w:rsidRPr="00B8420D">
        <w:rPr>
          <w:b/>
          <w:bCs/>
        </w:rPr>
        <w:t xml:space="preserve"> </w:t>
      </w:r>
      <w:proofErr w:type="spellStart"/>
      <w:r w:rsidRPr="00B8420D">
        <w:rPr>
          <w:b/>
          <w:bCs/>
        </w:rPr>
        <w:t>procedurer</w:t>
      </w:r>
      <w:proofErr w:type="spellEnd"/>
      <w:r w:rsidRPr="00B8420D">
        <w:rPr>
          <w:b/>
          <w:bCs/>
        </w:rPr>
        <w:t xml:space="preserve"> / </w:t>
      </w:r>
      <w:proofErr w:type="spellStart"/>
      <w:r w:rsidRPr="00B8420D">
        <w:rPr>
          <w:b/>
          <w:bCs/>
        </w:rPr>
        <w:t>operationer</w:t>
      </w:r>
      <w:proofErr w:type="spellEnd"/>
    </w:p>
    <w:p w14:paraId="4E0069C7" w14:textId="35E3C23F" w:rsidR="00265906" w:rsidRDefault="001F726A" w:rsidP="00B8420D">
      <w:proofErr w:type="spellStart"/>
      <w:r>
        <w:t>D</w:t>
      </w:r>
      <w:r w:rsidRPr="001F726A">
        <w:t>abigatranetexilat</w:t>
      </w:r>
      <w:proofErr w:type="spellEnd"/>
      <w:r>
        <w:t xml:space="preserve"> </w:t>
      </w:r>
      <w:proofErr w:type="spellStart"/>
      <w:r w:rsidR="00B8420D">
        <w:t>bør</w:t>
      </w:r>
      <w:proofErr w:type="spellEnd"/>
      <w:r w:rsidR="00B8420D">
        <w:t xml:space="preserve"> </w:t>
      </w:r>
      <w:proofErr w:type="spellStart"/>
      <w:r w:rsidR="00B8420D">
        <w:t>midlertidigt</w:t>
      </w:r>
      <w:proofErr w:type="spellEnd"/>
      <w:r w:rsidR="00B8420D">
        <w:t xml:space="preserve"> </w:t>
      </w:r>
      <w:proofErr w:type="spellStart"/>
      <w:r w:rsidR="00B8420D">
        <w:t>seponeres</w:t>
      </w:r>
      <w:proofErr w:type="spellEnd"/>
      <w:r w:rsidR="00B8420D">
        <w:t xml:space="preserve">. </w:t>
      </w:r>
      <w:proofErr w:type="spellStart"/>
      <w:r w:rsidR="00B8420D">
        <w:t>Hvis</w:t>
      </w:r>
      <w:proofErr w:type="spellEnd"/>
      <w:r w:rsidR="00B8420D">
        <w:t xml:space="preserve"> </w:t>
      </w:r>
      <w:proofErr w:type="spellStart"/>
      <w:r w:rsidR="00B8420D">
        <w:t>det</w:t>
      </w:r>
      <w:proofErr w:type="spellEnd"/>
      <w:r w:rsidR="00B8420D">
        <w:t xml:space="preserve"> er </w:t>
      </w:r>
      <w:proofErr w:type="spellStart"/>
      <w:r w:rsidR="00B8420D">
        <w:t>muligt</w:t>
      </w:r>
      <w:proofErr w:type="spellEnd"/>
      <w:r w:rsidR="00B8420D">
        <w:t xml:space="preserve">, </w:t>
      </w:r>
      <w:proofErr w:type="spellStart"/>
      <w:r w:rsidR="00B8420D">
        <w:t>skal</w:t>
      </w:r>
      <w:proofErr w:type="spellEnd"/>
      <w:r w:rsidR="00B8420D">
        <w:t xml:space="preserve"> </w:t>
      </w:r>
      <w:proofErr w:type="spellStart"/>
      <w:r w:rsidR="00B8420D">
        <w:t>kirurgi</w:t>
      </w:r>
      <w:proofErr w:type="spellEnd"/>
      <w:r w:rsidR="00B8420D">
        <w:t xml:space="preserve"> </w:t>
      </w:r>
      <w:proofErr w:type="spellStart"/>
      <w:r w:rsidR="00B8420D">
        <w:t>udføres</w:t>
      </w:r>
      <w:proofErr w:type="spellEnd"/>
      <w:r w:rsidR="00B8420D">
        <w:t xml:space="preserve"> </w:t>
      </w:r>
      <w:proofErr w:type="spellStart"/>
      <w:r w:rsidR="00B8420D">
        <w:t>tidligst</w:t>
      </w:r>
      <w:proofErr w:type="spellEnd"/>
      <w:r w:rsidR="00B8420D">
        <w:t xml:space="preserve"> 12 </w:t>
      </w:r>
      <w:proofErr w:type="spellStart"/>
      <w:r w:rsidR="00B8420D">
        <w:t>timer</w:t>
      </w:r>
      <w:proofErr w:type="spellEnd"/>
      <w:r w:rsidR="00B8420D">
        <w:t xml:space="preserve"> </w:t>
      </w:r>
      <w:proofErr w:type="spellStart"/>
      <w:r w:rsidR="00B8420D">
        <w:t>efter</w:t>
      </w:r>
      <w:proofErr w:type="spellEnd"/>
      <w:r w:rsidR="00B8420D">
        <w:t xml:space="preserve"> den </w:t>
      </w:r>
      <w:proofErr w:type="spellStart"/>
      <w:r w:rsidR="00B8420D">
        <w:t>sidste</w:t>
      </w:r>
      <w:proofErr w:type="spellEnd"/>
      <w:r w:rsidR="00B8420D">
        <w:t xml:space="preserve"> </w:t>
      </w:r>
      <w:proofErr w:type="spellStart"/>
      <w:r w:rsidR="00B8420D">
        <w:t>dosis</w:t>
      </w:r>
      <w:proofErr w:type="spellEnd"/>
      <w:r w:rsidR="00B8420D">
        <w:t xml:space="preserve">. </w:t>
      </w:r>
      <w:proofErr w:type="spellStart"/>
      <w:r w:rsidR="00B8420D">
        <w:t>Hvis</w:t>
      </w:r>
      <w:proofErr w:type="spellEnd"/>
      <w:r w:rsidR="00B8420D">
        <w:t xml:space="preserve"> </w:t>
      </w:r>
      <w:proofErr w:type="spellStart"/>
      <w:r w:rsidR="00B8420D">
        <w:t>proceduren</w:t>
      </w:r>
      <w:proofErr w:type="spellEnd"/>
      <w:r w:rsidR="00B8420D">
        <w:t xml:space="preserve"> </w:t>
      </w:r>
      <w:proofErr w:type="spellStart"/>
      <w:r w:rsidR="00B8420D">
        <w:t>ikke</w:t>
      </w:r>
      <w:proofErr w:type="spellEnd"/>
      <w:r w:rsidR="00B8420D">
        <w:t xml:space="preserve"> </w:t>
      </w:r>
      <w:proofErr w:type="spellStart"/>
      <w:r w:rsidR="00B8420D">
        <w:t>kan</w:t>
      </w:r>
      <w:proofErr w:type="spellEnd"/>
      <w:r w:rsidR="00B8420D">
        <w:t xml:space="preserve"> </w:t>
      </w:r>
      <w:proofErr w:type="spellStart"/>
      <w:r w:rsidR="00B8420D">
        <w:t>udskydes</w:t>
      </w:r>
      <w:proofErr w:type="spellEnd"/>
      <w:r w:rsidR="00B8420D">
        <w:t xml:space="preserve">, </w:t>
      </w:r>
      <w:proofErr w:type="spellStart"/>
      <w:r w:rsidR="00B8420D">
        <w:t>kan</w:t>
      </w:r>
      <w:proofErr w:type="spellEnd"/>
      <w:r w:rsidR="00B8420D">
        <w:t xml:space="preserve"> der </w:t>
      </w:r>
      <w:proofErr w:type="spellStart"/>
      <w:r w:rsidR="00B8420D">
        <w:t>være</w:t>
      </w:r>
      <w:proofErr w:type="spellEnd"/>
      <w:r w:rsidR="00B8420D">
        <w:t xml:space="preserve"> en </w:t>
      </w:r>
      <w:proofErr w:type="spellStart"/>
      <w:r w:rsidR="00B8420D">
        <w:t>øget</w:t>
      </w:r>
      <w:proofErr w:type="spellEnd"/>
      <w:r w:rsidR="00B8420D">
        <w:t xml:space="preserve"> </w:t>
      </w:r>
      <w:proofErr w:type="spellStart"/>
      <w:r w:rsidR="00B8420D">
        <w:t>risiko</w:t>
      </w:r>
      <w:proofErr w:type="spellEnd"/>
      <w:r w:rsidR="00B8420D">
        <w:t xml:space="preserve"> </w:t>
      </w:r>
      <w:proofErr w:type="spellStart"/>
      <w:r w:rsidR="00B8420D">
        <w:t>for</w:t>
      </w:r>
      <w:proofErr w:type="spellEnd"/>
      <w:r w:rsidR="00B8420D">
        <w:t xml:space="preserve"> </w:t>
      </w:r>
      <w:proofErr w:type="spellStart"/>
      <w:r w:rsidR="00B8420D">
        <w:t>blødning</w:t>
      </w:r>
      <w:proofErr w:type="spellEnd"/>
      <w:r w:rsidR="00B8420D">
        <w:t xml:space="preserve">. </w:t>
      </w:r>
      <w:proofErr w:type="spellStart"/>
      <w:r w:rsidR="00B8420D">
        <w:t>Risikoen</w:t>
      </w:r>
      <w:proofErr w:type="spellEnd"/>
      <w:r w:rsidR="00B8420D">
        <w:t xml:space="preserve"> </w:t>
      </w:r>
      <w:proofErr w:type="spellStart"/>
      <w:r w:rsidR="00B8420D">
        <w:t>for</w:t>
      </w:r>
      <w:proofErr w:type="spellEnd"/>
      <w:r w:rsidR="00B8420D">
        <w:t xml:space="preserve"> </w:t>
      </w:r>
      <w:proofErr w:type="spellStart"/>
      <w:r w:rsidR="00B8420D">
        <w:t>blødning</w:t>
      </w:r>
      <w:proofErr w:type="spellEnd"/>
      <w:r w:rsidR="00B8420D">
        <w:t xml:space="preserve"> </w:t>
      </w:r>
      <w:proofErr w:type="spellStart"/>
      <w:r w:rsidR="00B8420D">
        <w:t>og</w:t>
      </w:r>
      <w:proofErr w:type="spellEnd"/>
      <w:r w:rsidR="00B8420D">
        <w:t xml:space="preserve"> </w:t>
      </w:r>
      <w:proofErr w:type="spellStart"/>
      <w:r w:rsidR="00B8420D">
        <w:t>procedurens</w:t>
      </w:r>
      <w:proofErr w:type="spellEnd"/>
      <w:r w:rsidR="00B8420D">
        <w:t xml:space="preserve"> hastende </w:t>
      </w:r>
      <w:proofErr w:type="spellStart"/>
      <w:r w:rsidR="00B8420D">
        <w:t>karakter</w:t>
      </w:r>
      <w:proofErr w:type="spellEnd"/>
      <w:r w:rsidR="00B8420D">
        <w:t xml:space="preserve"> </w:t>
      </w:r>
      <w:proofErr w:type="spellStart"/>
      <w:r w:rsidR="00B8420D">
        <w:t>bør</w:t>
      </w:r>
      <w:proofErr w:type="spellEnd"/>
      <w:r w:rsidR="00B8420D">
        <w:t xml:space="preserve"> </w:t>
      </w:r>
      <w:proofErr w:type="spellStart"/>
      <w:r w:rsidR="00B8420D">
        <w:t>afvejes</w:t>
      </w:r>
      <w:proofErr w:type="spellEnd"/>
      <w:r w:rsidR="00B8420D">
        <w:t xml:space="preserve"> </w:t>
      </w:r>
      <w:proofErr w:type="spellStart"/>
      <w:r w:rsidR="00B8420D">
        <w:t>mod</w:t>
      </w:r>
      <w:proofErr w:type="spellEnd"/>
      <w:r w:rsidR="00B8420D">
        <w:t xml:space="preserve"> </w:t>
      </w:r>
      <w:proofErr w:type="spellStart"/>
      <w:r w:rsidR="00B8420D">
        <w:t>hinanden</w:t>
      </w:r>
      <w:proofErr w:type="spellEnd"/>
      <w:r w:rsidR="00B8420D">
        <w:t>.</w:t>
      </w:r>
    </w:p>
    <w:p w14:paraId="06A69DB5" w14:textId="40FCCD18" w:rsidR="00B8420D" w:rsidRDefault="00B8420D" w:rsidP="008C7377"/>
    <w:p w14:paraId="69682E99" w14:textId="77777777" w:rsidR="00B8420D" w:rsidRPr="00B8420D" w:rsidRDefault="00B8420D" w:rsidP="00B8420D">
      <w:pPr>
        <w:rPr>
          <w:b/>
          <w:bCs/>
        </w:rPr>
      </w:pPr>
      <w:r w:rsidRPr="00B8420D">
        <w:rPr>
          <w:b/>
          <w:bCs/>
        </w:rPr>
        <w:t xml:space="preserve">Elektive </w:t>
      </w:r>
      <w:proofErr w:type="spellStart"/>
      <w:r w:rsidRPr="00B8420D">
        <w:rPr>
          <w:b/>
          <w:bCs/>
        </w:rPr>
        <w:t>operationer</w:t>
      </w:r>
      <w:proofErr w:type="spellEnd"/>
    </w:p>
    <w:p w14:paraId="5CD08A28" w14:textId="217D2769" w:rsidR="00B8420D" w:rsidRDefault="00723C46" w:rsidP="00B8420D">
      <w:proofErr w:type="spellStart"/>
      <w:r w:rsidRPr="00723C46">
        <w:t>Dabigatranetexilat</w:t>
      </w:r>
      <w:proofErr w:type="spellEnd"/>
      <w:r w:rsidRPr="00723C46">
        <w:t xml:space="preserve"> </w:t>
      </w:r>
      <w:proofErr w:type="spellStart"/>
      <w:r w:rsidRPr="00723C46">
        <w:t>bør</w:t>
      </w:r>
      <w:proofErr w:type="spellEnd"/>
      <w:r w:rsidRPr="00723C46">
        <w:t xml:space="preserve"> </w:t>
      </w:r>
      <w:proofErr w:type="spellStart"/>
      <w:r w:rsidRPr="00723C46">
        <w:t>seponeres</w:t>
      </w:r>
      <w:proofErr w:type="spellEnd"/>
      <w:r w:rsidRPr="00723C46">
        <w:t xml:space="preserve"> </w:t>
      </w:r>
      <w:proofErr w:type="spellStart"/>
      <w:r w:rsidRPr="00723C46">
        <w:t>mindst</w:t>
      </w:r>
      <w:proofErr w:type="spellEnd"/>
      <w:r w:rsidRPr="00723C46">
        <w:t xml:space="preserve"> 24 </w:t>
      </w:r>
      <w:proofErr w:type="spellStart"/>
      <w:r w:rsidRPr="00723C46">
        <w:t>timer</w:t>
      </w:r>
      <w:proofErr w:type="spellEnd"/>
      <w:r w:rsidRPr="00723C46">
        <w:t xml:space="preserve"> </w:t>
      </w:r>
      <w:proofErr w:type="spellStart"/>
      <w:r w:rsidRPr="00723C46">
        <w:t>før</w:t>
      </w:r>
      <w:proofErr w:type="spellEnd"/>
      <w:r w:rsidRPr="00723C46">
        <w:t xml:space="preserve"> et </w:t>
      </w:r>
      <w:proofErr w:type="spellStart"/>
      <w:r w:rsidRPr="00723C46">
        <w:t>invasivt</w:t>
      </w:r>
      <w:proofErr w:type="spellEnd"/>
      <w:r w:rsidRPr="00723C46">
        <w:t xml:space="preserve"> </w:t>
      </w:r>
      <w:proofErr w:type="spellStart"/>
      <w:r w:rsidRPr="00723C46">
        <w:t>eller</w:t>
      </w:r>
      <w:proofErr w:type="spellEnd"/>
      <w:r w:rsidRPr="00723C46">
        <w:t xml:space="preserve"> </w:t>
      </w:r>
      <w:proofErr w:type="spellStart"/>
      <w:r w:rsidRPr="00723C46">
        <w:t>kirurgisk</w:t>
      </w:r>
      <w:proofErr w:type="spellEnd"/>
      <w:r w:rsidRPr="00723C46">
        <w:t xml:space="preserve"> </w:t>
      </w:r>
      <w:proofErr w:type="spellStart"/>
      <w:r w:rsidRPr="00723C46">
        <w:t>indgreb</w:t>
      </w:r>
      <w:proofErr w:type="spellEnd"/>
      <w:r w:rsidRPr="00723C46">
        <w:t xml:space="preserve">, </w:t>
      </w:r>
      <w:proofErr w:type="spellStart"/>
      <w:r w:rsidRPr="00723C46">
        <w:t>hvis</w:t>
      </w:r>
      <w:proofErr w:type="spellEnd"/>
      <w:r w:rsidRPr="00723C46">
        <w:t xml:space="preserve"> </w:t>
      </w:r>
      <w:proofErr w:type="spellStart"/>
      <w:r w:rsidRPr="00723C46">
        <w:t>det</w:t>
      </w:r>
      <w:proofErr w:type="spellEnd"/>
      <w:r w:rsidRPr="00723C46">
        <w:t xml:space="preserve"> er </w:t>
      </w:r>
      <w:proofErr w:type="spellStart"/>
      <w:r w:rsidRPr="00723C46">
        <w:t>muligt</w:t>
      </w:r>
      <w:proofErr w:type="spellEnd"/>
      <w:r w:rsidRPr="00723C46">
        <w:t xml:space="preserve">. Hos </w:t>
      </w:r>
      <w:proofErr w:type="spellStart"/>
      <w:r w:rsidRPr="00723C46">
        <w:t>patienter</w:t>
      </w:r>
      <w:proofErr w:type="spellEnd"/>
      <w:r w:rsidRPr="00723C46">
        <w:t xml:space="preserve"> med en </w:t>
      </w:r>
      <w:proofErr w:type="spellStart"/>
      <w:r w:rsidRPr="00723C46">
        <w:t>højere</w:t>
      </w:r>
      <w:proofErr w:type="spellEnd"/>
      <w:r w:rsidRPr="00723C46">
        <w:t xml:space="preserve"> </w:t>
      </w:r>
      <w:proofErr w:type="spellStart"/>
      <w:r w:rsidRPr="00723C46">
        <w:t>risiko</w:t>
      </w:r>
      <w:proofErr w:type="spellEnd"/>
      <w:r w:rsidRPr="00723C46">
        <w:t xml:space="preserve"> </w:t>
      </w:r>
      <w:proofErr w:type="spellStart"/>
      <w:r w:rsidRPr="00723C46">
        <w:t>for</w:t>
      </w:r>
      <w:proofErr w:type="spellEnd"/>
      <w:r w:rsidRPr="00723C46">
        <w:t xml:space="preserve"> </w:t>
      </w:r>
      <w:proofErr w:type="spellStart"/>
      <w:r w:rsidRPr="00723C46">
        <w:t>blødning</w:t>
      </w:r>
      <w:proofErr w:type="spellEnd"/>
      <w:r w:rsidRPr="00723C46">
        <w:t xml:space="preserve"> </w:t>
      </w:r>
      <w:proofErr w:type="spellStart"/>
      <w:r w:rsidRPr="00723C46">
        <w:t>eller</w:t>
      </w:r>
      <w:proofErr w:type="spellEnd"/>
      <w:r w:rsidRPr="00723C46">
        <w:t xml:space="preserve"> </w:t>
      </w:r>
      <w:proofErr w:type="spellStart"/>
      <w:r w:rsidRPr="00723C46">
        <w:t>ved</w:t>
      </w:r>
      <w:proofErr w:type="spellEnd"/>
      <w:r w:rsidRPr="00723C46">
        <w:t xml:space="preserve"> </w:t>
      </w:r>
      <w:proofErr w:type="spellStart"/>
      <w:r w:rsidRPr="00723C46">
        <w:t>større</w:t>
      </w:r>
      <w:proofErr w:type="spellEnd"/>
      <w:r w:rsidRPr="00723C46">
        <w:t xml:space="preserve"> </w:t>
      </w:r>
      <w:proofErr w:type="spellStart"/>
      <w:r w:rsidRPr="00723C46">
        <w:t>indgreb</w:t>
      </w:r>
      <w:proofErr w:type="spellEnd"/>
      <w:r w:rsidRPr="00723C46">
        <w:t xml:space="preserve">, der </w:t>
      </w:r>
      <w:proofErr w:type="spellStart"/>
      <w:r w:rsidRPr="00723C46">
        <w:t>kræver</w:t>
      </w:r>
      <w:proofErr w:type="spellEnd"/>
      <w:r w:rsidRPr="00723C46">
        <w:t xml:space="preserve"> </w:t>
      </w:r>
      <w:proofErr w:type="spellStart"/>
      <w:r w:rsidRPr="00723C46">
        <w:t>fuldstændig</w:t>
      </w:r>
      <w:proofErr w:type="spellEnd"/>
      <w:r w:rsidRPr="00723C46">
        <w:t xml:space="preserve"> </w:t>
      </w:r>
      <w:proofErr w:type="spellStart"/>
      <w:r w:rsidRPr="00723C46">
        <w:t>hæmostase</w:t>
      </w:r>
      <w:proofErr w:type="spellEnd"/>
      <w:r w:rsidRPr="00723C46">
        <w:t xml:space="preserve">, </w:t>
      </w:r>
      <w:proofErr w:type="spellStart"/>
      <w:r w:rsidRPr="00723C46">
        <w:t>kan</w:t>
      </w:r>
      <w:proofErr w:type="spellEnd"/>
      <w:r w:rsidRPr="00723C46">
        <w:t xml:space="preserve"> </w:t>
      </w:r>
      <w:proofErr w:type="spellStart"/>
      <w:r w:rsidRPr="00723C46">
        <w:t>det</w:t>
      </w:r>
      <w:proofErr w:type="spellEnd"/>
      <w:r w:rsidRPr="00723C46">
        <w:t xml:space="preserve"> </w:t>
      </w:r>
      <w:proofErr w:type="spellStart"/>
      <w:r w:rsidRPr="00723C46">
        <w:t>være</w:t>
      </w:r>
      <w:proofErr w:type="spellEnd"/>
      <w:r w:rsidRPr="00723C46">
        <w:t xml:space="preserve"> </w:t>
      </w:r>
      <w:proofErr w:type="spellStart"/>
      <w:r w:rsidRPr="00723C46">
        <w:t>nødvendigt</w:t>
      </w:r>
      <w:proofErr w:type="spellEnd"/>
      <w:r w:rsidRPr="00723C46">
        <w:t xml:space="preserve"> at </w:t>
      </w:r>
      <w:proofErr w:type="spellStart"/>
      <w:r w:rsidRPr="00723C46">
        <w:t>afbryde</w:t>
      </w:r>
      <w:proofErr w:type="spellEnd"/>
      <w:r w:rsidRPr="00723C46">
        <w:t xml:space="preserve"> </w:t>
      </w:r>
      <w:proofErr w:type="spellStart"/>
      <w:r w:rsidRPr="00723C46">
        <w:t>brugen</w:t>
      </w:r>
      <w:proofErr w:type="spellEnd"/>
      <w:r w:rsidRPr="00723C46">
        <w:t xml:space="preserve"> </w:t>
      </w:r>
      <w:proofErr w:type="spellStart"/>
      <w:r w:rsidRPr="00723C46">
        <w:t>af</w:t>
      </w:r>
      <w:proofErr w:type="spellEnd"/>
      <w:r w:rsidRPr="00723C46">
        <w:t xml:space="preserve"> </w:t>
      </w:r>
      <w:proofErr w:type="spellStart"/>
      <w:r w:rsidRPr="00723C46">
        <w:t>dabigatranetexilat</w:t>
      </w:r>
      <w:proofErr w:type="spellEnd"/>
      <w:r w:rsidRPr="00723C46">
        <w:t xml:space="preserve"> 2 </w:t>
      </w:r>
      <w:proofErr w:type="spellStart"/>
      <w:r w:rsidRPr="00723C46">
        <w:t>til</w:t>
      </w:r>
      <w:proofErr w:type="spellEnd"/>
      <w:r w:rsidRPr="00723C46">
        <w:t xml:space="preserve"> 4 </w:t>
      </w:r>
      <w:proofErr w:type="spellStart"/>
      <w:r w:rsidRPr="00723C46">
        <w:t>dage</w:t>
      </w:r>
      <w:proofErr w:type="spellEnd"/>
      <w:r w:rsidRPr="00723C46">
        <w:t xml:space="preserve"> </w:t>
      </w:r>
      <w:proofErr w:type="spellStart"/>
      <w:r w:rsidRPr="00723C46">
        <w:t>før</w:t>
      </w:r>
      <w:proofErr w:type="spellEnd"/>
      <w:r w:rsidRPr="00723C46">
        <w:t xml:space="preserve"> </w:t>
      </w:r>
      <w:proofErr w:type="spellStart"/>
      <w:r w:rsidRPr="00723C46">
        <w:t>proceduren</w:t>
      </w:r>
      <w:proofErr w:type="spellEnd"/>
      <w:r w:rsidRPr="00723C46">
        <w:t xml:space="preserve">. </w:t>
      </w:r>
      <w:proofErr w:type="spellStart"/>
      <w:r w:rsidRPr="00723C46">
        <w:t>Seponeringsreglerne</w:t>
      </w:r>
      <w:proofErr w:type="spellEnd"/>
      <w:r w:rsidRPr="00723C46">
        <w:t xml:space="preserve"> er </w:t>
      </w:r>
      <w:proofErr w:type="spellStart"/>
      <w:r w:rsidRPr="00723C46">
        <w:t>beskrevet</w:t>
      </w:r>
      <w:proofErr w:type="spellEnd"/>
      <w:r w:rsidRPr="00723C46">
        <w:t xml:space="preserve"> i </w:t>
      </w:r>
      <w:proofErr w:type="spellStart"/>
      <w:r w:rsidRPr="00723C46">
        <w:t>tabel</w:t>
      </w:r>
      <w:proofErr w:type="spellEnd"/>
      <w:r w:rsidRPr="00723C46">
        <w:t xml:space="preserve"> 2.</w:t>
      </w:r>
    </w:p>
    <w:p w14:paraId="11E29727" w14:textId="77777777" w:rsidR="00657EB2" w:rsidRDefault="00657EB2" w:rsidP="00B8420D"/>
    <w:p w14:paraId="25BF600B" w14:textId="4B16E93A" w:rsidR="00657EB2" w:rsidRPr="00657EB2" w:rsidRDefault="00657EB2" w:rsidP="00B8420D">
      <w:pPr>
        <w:rPr>
          <w:b/>
          <w:bCs/>
        </w:rPr>
      </w:pPr>
      <w:proofErr w:type="spellStart"/>
      <w:r w:rsidRPr="00657EB2">
        <w:rPr>
          <w:b/>
          <w:bCs/>
        </w:rPr>
        <w:t>Tabel</w:t>
      </w:r>
      <w:proofErr w:type="spellEnd"/>
      <w:r w:rsidRPr="00657EB2">
        <w:rPr>
          <w:b/>
          <w:bCs/>
        </w:rPr>
        <w:t xml:space="preserve"> 2: </w:t>
      </w:r>
      <w:proofErr w:type="spellStart"/>
      <w:r w:rsidRPr="00657EB2">
        <w:rPr>
          <w:b/>
          <w:bCs/>
        </w:rPr>
        <w:t>Seponeringsregler</w:t>
      </w:r>
      <w:proofErr w:type="spellEnd"/>
      <w:r w:rsidRPr="00657EB2">
        <w:rPr>
          <w:b/>
          <w:bCs/>
        </w:rPr>
        <w:t xml:space="preserve"> </w:t>
      </w:r>
      <w:proofErr w:type="spellStart"/>
      <w:r w:rsidRPr="00657EB2">
        <w:rPr>
          <w:b/>
          <w:bCs/>
        </w:rPr>
        <w:t>før</w:t>
      </w:r>
      <w:proofErr w:type="spellEnd"/>
      <w:r w:rsidRPr="00657EB2">
        <w:rPr>
          <w:b/>
          <w:bCs/>
        </w:rPr>
        <w:t xml:space="preserve"> invasive </w:t>
      </w:r>
      <w:proofErr w:type="spellStart"/>
      <w:r w:rsidRPr="00657EB2">
        <w:rPr>
          <w:b/>
          <w:bCs/>
        </w:rPr>
        <w:t>eller</w:t>
      </w:r>
      <w:proofErr w:type="spellEnd"/>
      <w:r w:rsidRPr="00657EB2">
        <w:rPr>
          <w:b/>
          <w:bCs/>
        </w:rPr>
        <w:t xml:space="preserve"> </w:t>
      </w:r>
      <w:proofErr w:type="spellStart"/>
      <w:r w:rsidRPr="00657EB2">
        <w:rPr>
          <w:b/>
          <w:bCs/>
        </w:rPr>
        <w:t>kirurgiske</w:t>
      </w:r>
      <w:proofErr w:type="spellEnd"/>
      <w:r w:rsidRPr="00657EB2">
        <w:rPr>
          <w:b/>
          <w:bCs/>
        </w:rPr>
        <w:t xml:space="preserve"> </w:t>
      </w:r>
      <w:proofErr w:type="spellStart"/>
      <w:r w:rsidRPr="00657EB2">
        <w:rPr>
          <w:b/>
          <w:bCs/>
        </w:rPr>
        <w:t>indgreb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482C" w14:paraId="6CED9BAA" w14:textId="77777777" w:rsidTr="00B34859">
        <w:tc>
          <w:tcPr>
            <w:tcW w:w="2265" w:type="dxa"/>
          </w:tcPr>
          <w:p w14:paraId="7EC96671" w14:textId="5F667D2A" w:rsidR="0080482C" w:rsidRDefault="0080482C" w:rsidP="008C7377">
            <w:proofErr w:type="spellStart"/>
            <w:r w:rsidRPr="0022558B">
              <w:rPr>
                <w:rFonts w:cstheme="minorHAnsi"/>
                <w:spacing w:val="-2"/>
              </w:rPr>
              <w:t>Nyrefunktion</w:t>
            </w:r>
            <w:proofErr w:type="spellEnd"/>
            <w:r w:rsidRPr="0022558B">
              <w:rPr>
                <w:rFonts w:cstheme="minorHAnsi"/>
                <w:spacing w:val="-2"/>
              </w:rPr>
              <w:t xml:space="preserve"> (</w:t>
            </w:r>
            <w:proofErr w:type="spellStart"/>
            <w:r w:rsidRPr="0022558B">
              <w:rPr>
                <w:rFonts w:cstheme="minorHAnsi"/>
                <w:spacing w:val="-2"/>
              </w:rPr>
              <w:t>CrCl</w:t>
            </w:r>
            <w:proofErr w:type="spellEnd"/>
            <w:r w:rsidRPr="0022558B">
              <w:rPr>
                <w:rFonts w:cstheme="minorHAnsi"/>
                <w:spacing w:val="-2"/>
              </w:rPr>
              <w:t xml:space="preserve"> i ml/min)</w:t>
            </w:r>
          </w:p>
        </w:tc>
        <w:tc>
          <w:tcPr>
            <w:tcW w:w="2265" w:type="dxa"/>
          </w:tcPr>
          <w:p w14:paraId="0F6BEFEB" w14:textId="30C16C7B" w:rsidR="0080482C" w:rsidRDefault="0080482C" w:rsidP="008C7377">
            <w:proofErr w:type="spellStart"/>
            <w:r w:rsidRPr="0022558B">
              <w:rPr>
                <w:rFonts w:cstheme="minorHAnsi"/>
                <w:spacing w:val="-2"/>
              </w:rPr>
              <w:t>Anslået</w:t>
            </w:r>
            <w:proofErr w:type="spellEnd"/>
            <w:r w:rsidRPr="0022558B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2"/>
                <w:w w:val="90"/>
              </w:rPr>
              <w:t>halveringstid</w:t>
            </w:r>
            <w:proofErr w:type="spellEnd"/>
            <w:r w:rsidRPr="0022558B">
              <w:rPr>
                <w:rFonts w:cstheme="minorHAnsi"/>
                <w:spacing w:val="-2"/>
                <w:w w:val="90"/>
              </w:rPr>
              <w:t xml:space="preserve"> </w:t>
            </w:r>
            <w:r w:rsidRPr="0022558B">
              <w:rPr>
                <w:rFonts w:cstheme="minorHAnsi"/>
                <w:spacing w:val="-2"/>
              </w:rPr>
              <w:t>(</w:t>
            </w:r>
            <w:proofErr w:type="spellStart"/>
            <w:r w:rsidRPr="0022558B">
              <w:rPr>
                <w:rFonts w:cstheme="minorHAnsi"/>
                <w:spacing w:val="-2"/>
              </w:rPr>
              <w:t>timer</w:t>
            </w:r>
            <w:proofErr w:type="spellEnd"/>
            <w:r w:rsidRPr="0022558B">
              <w:rPr>
                <w:rFonts w:cstheme="minorHAnsi"/>
                <w:spacing w:val="-2"/>
              </w:rPr>
              <w:t>)</w:t>
            </w:r>
          </w:p>
        </w:tc>
        <w:tc>
          <w:tcPr>
            <w:tcW w:w="4532" w:type="dxa"/>
            <w:gridSpan w:val="2"/>
          </w:tcPr>
          <w:p w14:paraId="3723A13E" w14:textId="4A9DEC12" w:rsidR="0080482C" w:rsidRDefault="0080482C" w:rsidP="008C7377">
            <w:proofErr w:type="spellStart"/>
            <w:r w:rsidRPr="0022558B">
              <w:rPr>
                <w:rFonts w:cstheme="minorHAnsi"/>
                <w:spacing w:val="-6"/>
              </w:rPr>
              <w:t>Hvornår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dabigatran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skal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seponeres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før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elektiv </w:t>
            </w:r>
            <w:proofErr w:type="spellStart"/>
            <w:r w:rsidRPr="0022558B">
              <w:rPr>
                <w:rFonts w:cstheme="minorHAnsi"/>
                <w:spacing w:val="-6"/>
              </w:rPr>
              <w:t>kirurgi</w:t>
            </w:r>
            <w:proofErr w:type="spellEnd"/>
            <w:r w:rsidRPr="0022558B">
              <w:rPr>
                <w:rFonts w:cstheme="minorHAnsi"/>
                <w:spacing w:val="-6"/>
              </w:rPr>
              <w:t>?</w:t>
            </w:r>
          </w:p>
        </w:tc>
      </w:tr>
      <w:tr w:rsidR="00B8420D" w14:paraId="7893D1A8" w14:textId="77777777" w:rsidTr="00B8420D">
        <w:tc>
          <w:tcPr>
            <w:tcW w:w="2265" w:type="dxa"/>
          </w:tcPr>
          <w:p w14:paraId="7279C848" w14:textId="77777777" w:rsidR="00B8420D" w:rsidRDefault="00B8420D" w:rsidP="008C7377"/>
        </w:tc>
        <w:tc>
          <w:tcPr>
            <w:tcW w:w="2265" w:type="dxa"/>
          </w:tcPr>
          <w:p w14:paraId="4505785A" w14:textId="77777777" w:rsidR="00B8420D" w:rsidRDefault="00B8420D" w:rsidP="008C7377"/>
        </w:tc>
        <w:tc>
          <w:tcPr>
            <w:tcW w:w="2266" w:type="dxa"/>
          </w:tcPr>
          <w:p w14:paraId="7DE6FAD2" w14:textId="213EBBDC" w:rsidR="00B8420D" w:rsidRDefault="0080482C" w:rsidP="008C7377">
            <w:proofErr w:type="spellStart"/>
            <w:r w:rsidRPr="0022558B">
              <w:rPr>
                <w:rFonts w:cstheme="minorHAnsi"/>
                <w:spacing w:val="-6"/>
              </w:rPr>
              <w:t>Høj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risiko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for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blødning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6"/>
              </w:rPr>
              <w:t>eller</w:t>
            </w:r>
            <w:proofErr w:type="spellEnd"/>
            <w:r w:rsidRPr="0022558B">
              <w:rPr>
                <w:rFonts w:cstheme="minorHAnsi"/>
                <w:spacing w:val="-6"/>
              </w:rPr>
              <w:t xml:space="preserve"> </w:t>
            </w:r>
            <w:proofErr w:type="spellStart"/>
            <w:r w:rsidRPr="0022558B">
              <w:rPr>
                <w:rFonts w:cstheme="minorHAnsi"/>
                <w:w w:val="90"/>
              </w:rPr>
              <w:t>større</w:t>
            </w:r>
            <w:proofErr w:type="spellEnd"/>
            <w:r w:rsidRPr="0022558B">
              <w:rPr>
                <w:rFonts w:cstheme="minorHAnsi"/>
                <w:w w:val="90"/>
              </w:rPr>
              <w:t xml:space="preserve"> </w:t>
            </w:r>
            <w:proofErr w:type="spellStart"/>
            <w:r w:rsidRPr="0022558B">
              <w:rPr>
                <w:rFonts w:cstheme="minorHAnsi"/>
                <w:w w:val="90"/>
              </w:rPr>
              <w:t>kirurgi</w:t>
            </w:r>
            <w:proofErr w:type="spellEnd"/>
          </w:p>
        </w:tc>
        <w:tc>
          <w:tcPr>
            <w:tcW w:w="2266" w:type="dxa"/>
          </w:tcPr>
          <w:p w14:paraId="21313A3C" w14:textId="597F53CD" w:rsidR="00B8420D" w:rsidRDefault="0080482C" w:rsidP="008C7377">
            <w:r w:rsidRPr="0022558B">
              <w:rPr>
                <w:rFonts w:cstheme="minorHAnsi"/>
                <w:spacing w:val="-2"/>
              </w:rPr>
              <w:t xml:space="preserve">Normal </w:t>
            </w:r>
            <w:proofErr w:type="spellStart"/>
            <w:r w:rsidRPr="0022558B">
              <w:rPr>
                <w:rFonts w:cstheme="minorHAnsi"/>
                <w:spacing w:val="-2"/>
              </w:rPr>
              <w:t>risiko</w:t>
            </w:r>
            <w:proofErr w:type="spellEnd"/>
          </w:p>
        </w:tc>
      </w:tr>
      <w:tr w:rsidR="00B8420D" w14:paraId="546DF340" w14:textId="77777777" w:rsidTr="00B8420D">
        <w:tc>
          <w:tcPr>
            <w:tcW w:w="2265" w:type="dxa"/>
          </w:tcPr>
          <w:p w14:paraId="59DF0D45" w14:textId="6E5ACB23" w:rsidR="00B8420D" w:rsidRDefault="0080482C" w:rsidP="008C7377">
            <w:r w:rsidRPr="0080482C">
              <w:t>≥ 80</w:t>
            </w:r>
          </w:p>
        </w:tc>
        <w:tc>
          <w:tcPr>
            <w:tcW w:w="2265" w:type="dxa"/>
          </w:tcPr>
          <w:p w14:paraId="5D0CF7FE" w14:textId="547CF136" w:rsidR="00B8420D" w:rsidRDefault="0080482C" w:rsidP="008C7377">
            <w:r>
              <w:rPr>
                <w:rFonts w:cstheme="minorHAnsi"/>
              </w:rPr>
              <w:t>̴13</w:t>
            </w:r>
          </w:p>
        </w:tc>
        <w:tc>
          <w:tcPr>
            <w:tcW w:w="2266" w:type="dxa"/>
          </w:tcPr>
          <w:p w14:paraId="5592A2A4" w14:textId="1BF0E7DF" w:rsidR="00B8420D" w:rsidRDefault="00A6258C" w:rsidP="008C7377">
            <w:r w:rsidRPr="0022558B">
              <w:rPr>
                <w:rFonts w:cstheme="minorHAnsi"/>
              </w:rPr>
              <w:t xml:space="preserve">2 </w:t>
            </w:r>
            <w:proofErr w:type="spellStart"/>
            <w:r w:rsidRPr="0022558B">
              <w:rPr>
                <w:rFonts w:cstheme="minorHAnsi"/>
              </w:rPr>
              <w:t>dage</w:t>
            </w:r>
            <w:proofErr w:type="spellEnd"/>
            <w:r w:rsidRPr="0022558B">
              <w:rPr>
                <w:rFonts w:cstheme="minorHAnsi"/>
              </w:rPr>
              <w:t xml:space="preserve"> </w:t>
            </w:r>
            <w:proofErr w:type="spellStart"/>
            <w:r w:rsidRPr="0022558B">
              <w:rPr>
                <w:rFonts w:cstheme="minorHAnsi"/>
              </w:rPr>
              <w:t>før</w:t>
            </w:r>
            <w:proofErr w:type="spellEnd"/>
          </w:p>
        </w:tc>
        <w:tc>
          <w:tcPr>
            <w:tcW w:w="2266" w:type="dxa"/>
          </w:tcPr>
          <w:p w14:paraId="75763F79" w14:textId="3EE8D3BE" w:rsidR="00B8420D" w:rsidRDefault="00A6258C" w:rsidP="008C7377">
            <w:r w:rsidRPr="0022558B">
              <w:rPr>
                <w:rFonts w:cstheme="minorHAnsi"/>
                <w:spacing w:val="-2"/>
              </w:rPr>
              <w:t xml:space="preserve">24 </w:t>
            </w:r>
            <w:proofErr w:type="spellStart"/>
            <w:r w:rsidRPr="0022558B">
              <w:rPr>
                <w:rFonts w:cstheme="minorHAnsi"/>
                <w:spacing w:val="-2"/>
              </w:rPr>
              <w:t>timer</w:t>
            </w:r>
            <w:proofErr w:type="spellEnd"/>
            <w:r w:rsidRPr="0022558B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22558B">
              <w:rPr>
                <w:rFonts w:cstheme="minorHAnsi"/>
                <w:spacing w:val="-2"/>
              </w:rPr>
              <w:t>før</w:t>
            </w:r>
            <w:proofErr w:type="spellEnd"/>
          </w:p>
        </w:tc>
      </w:tr>
      <w:tr w:rsidR="00B8420D" w14:paraId="26666153" w14:textId="77777777" w:rsidTr="00B8420D">
        <w:tc>
          <w:tcPr>
            <w:tcW w:w="2265" w:type="dxa"/>
          </w:tcPr>
          <w:p w14:paraId="1919C67A" w14:textId="2B441498" w:rsidR="00B8420D" w:rsidRDefault="0080482C" w:rsidP="008C7377">
            <w:r w:rsidRPr="0080482C">
              <w:t xml:space="preserve">≥ 50 </w:t>
            </w:r>
            <w:proofErr w:type="spellStart"/>
            <w:r w:rsidRPr="0080482C">
              <w:t>til</w:t>
            </w:r>
            <w:proofErr w:type="spellEnd"/>
            <w:r w:rsidRPr="0080482C">
              <w:t xml:space="preserve"> &lt; 80</w:t>
            </w:r>
          </w:p>
        </w:tc>
        <w:tc>
          <w:tcPr>
            <w:tcW w:w="2265" w:type="dxa"/>
          </w:tcPr>
          <w:p w14:paraId="0CE00333" w14:textId="1FE48825" w:rsidR="00B8420D" w:rsidRDefault="0080482C" w:rsidP="008C7377">
            <w:r>
              <w:rPr>
                <w:rFonts w:cstheme="minorHAnsi"/>
              </w:rPr>
              <w:t>̴15</w:t>
            </w:r>
          </w:p>
        </w:tc>
        <w:tc>
          <w:tcPr>
            <w:tcW w:w="2266" w:type="dxa"/>
          </w:tcPr>
          <w:p w14:paraId="08E77CF2" w14:textId="361CCFE6" w:rsidR="00B8420D" w:rsidRDefault="00A6258C" w:rsidP="008C7377">
            <w:r w:rsidRPr="00A6258C">
              <w:rPr>
                <w:rFonts w:cstheme="minorHAnsi"/>
              </w:rPr>
              <w:t xml:space="preserve">2-3 </w:t>
            </w:r>
            <w:proofErr w:type="spellStart"/>
            <w:r w:rsidRPr="00A6258C">
              <w:rPr>
                <w:rFonts w:cstheme="minorHAnsi"/>
              </w:rPr>
              <w:t>dage</w:t>
            </w:r>
            <w:proofErr w:type="spellEnd"/>
            <w:r w:rsidRPr="00A6258C">
              <w:rPr>
                <w:rFonts w:cstheme="minorHAnsi"/>
              </w:rPr>
              <w:t xml:space="preserve"> </w:t>
            </w:r>
            <w:proofErr w:type="spellStart"/>
            <w:r w:rsidRPr="00A6258C">
              <w:rPr>
                <w:rFonts w:cstheme="minorHAnsi"/>
              </w:rPr>
              <w:t>før</w:t>
            </w:r>
            <w:proofErr w:type="spellEnd"/>
          </w:p>
        </w:tc>
        <w:tc>
          <w:tcPr>
            <w:tcW w:w="2266" w:type="dxa"/>
          </w:tcPr>
          <w:p w14:paraId="33B0F2FB" w14:textId="4263D0BC" w:rsidR="00B8420D" w:rsidRDefault="00A6258C" w:rsidP="008C7377">
            <w:r w:rsidRPr="0022558B">
              <w:rPr>
                <w:rFonts w:cstheme="minorHAnsi"/>
              </w:rPr>
              <w:t xml:space="preserve">1-2 </w:t>
            </w:r>
            <w:proofErr w:type="spellStart"/>
            <w:r w:rsidRPr="0022558B">
              <w:rPr>
                <w:rFonts w:cstheme="minorHAnsi"/>
              </w:rPr>
              <w:t>dage</w:t>
            </w:r>
            <w:proofErr w:type="spellEnd"/>
            <w:r w:rsidRPr="0022558B">
              <w:rPr>
                <w:rFonts w:cstheme="minorHAnsi"/>
              </w:rPr>
              <w:t xml:space="preserve"> </w:t>
            </w:r>
            <w:proofErr w:type="spellStart"/>
            <w:r w:rsidRPr="0022558B">
              <w:rPr>
                <w:rFonts w:cstheme="minorHAnsi"/>
              </w:rPr>
              <w:t>før</w:t>
            </w:r>
            <w:proofErr w:type="spellEnd"/>
          </w:p>
        </w:tc>
      </w:tr>
      <w:tr w:rsidR="00B8420D" w14:paraId="33113B30" w14:textId="77777777" w:rsidTr="00B8420D">
        <w:tc>
          <w:tcPr>
            <w:tcW w:w="2265" w:type="dxa"/>
          </w:tcPr>
          <w:p w14:paraId="40B07456" w14:textId="792827B9" w:rsidR="00B8420D" w:rsidRDefault="0080482C" w:rsidP="008C7377">
            <w:r w:rsidRPr="0080482C">
              <w:t xml:space="preserve">≥ 30 </w:t>
            </w:r>
            <w:proofErr w:type="spellStart"/>
            <w:r w:rsidRPr="0080482C">
              <w:t>til</w:t>
            </w:r>
            <w:proofErr w:type="spellEnd"/>
            <w:r w:rsidRPr="0080482C">
              <w:t xml:space="preserve"> &lt; 50</w:t>
            </w:r>
          </w:p>
        </w:tc>
        <w:tc>
          <w:tcPr>
            <w:tcW w:w="2265" w:type="dxa"/>
          </w:tcPr>
          <w:p w14:paraId="4C6BD026" w14:textId="1D47B29C" w:rsidR="00B8420D" w:rsidRDefault="0080482C" w:rsidP="008C7377">
            <w:r>
              <w:rPr>
                <w:rFonts w:cstheme="minorHAnsi"/>
              </w:rPr>
              <w:t>̴18</w:t>
            </w:r>
          </w:p>
        </w:tc>
        <w:tc>
          <w:tcPr>
            <w:tcW w:w="2266" w:type="dxa"/>
          </w:tcPr>
          <w:p w14:paraId="5F1D1187" w14:textId="271C23CD" w:rsidR="00B8420D" w:rsidRDefault="00A6258C" w:rsidP="008C7377">
            <w:r w:rsidRPr="0022558B">
              <w:rPr>
                <w:rFonts w:cstheme="minorHAnsi"/>
              </w:rPr>
              <w:t xml:space="preserve">4 </w:t>
            </w:r>
            <w:proofErr w:type="spellStart"/>
            <w:r w:rsidRPr="0022558B">
              <w:rPr>
                <w:rFonts w:cstheme="minorHAnsi"/>
              </w:rPr>
              <w:t>dage</w:t>
            </w:r>
            <w:proofErr w:type="spellEnd"/>
            <w:r w:rsidRPr="0022558B">
              <w:rPr>
                <w:rFonts w:cstheme="minorHAnsi"/>
              </w:rPr>
              <w:t xml:space="preserve"> </w:t>
            </w:r>
            <w:proofErr w:type="spellStart"/>
            <w:r w:rsidRPr="0022558B">
              <w:rPr>
                <w:rFonts w:cstheme="minorHAnsi"/>
              </w:rPr>
              <w:t>før</w:t>
            </w:r>
            <w:proofErr w:type="spellEnd"/>
          </w:p>
        </w:tc>
        <w:tc>
          <w:tcPr>
            <w:tcW w:w="2266" w:type="dxa"/>
          </w:tcPr>
          <w:p w14:paraId="4DEDA142" w14:textId="77777777" w:rsidR="00A6258C" w:rsidRPr="0022558B" w:rsidRDefault="00A6258C" w:rsidP="00A6258C">
            <w:pPr>
              <w:pStyle w:val="TableParagraph"/>
              <w:spacing w:before="45" w:line="248" w:lineRule="exact"/>
              <w:ind w:left="0"/>
              <w:rPr>
                <w:rFonts w:asciiTheme="minorHAnsi" w:hAnsiTheme="minorHAnsi" w:cstheme="minorHAnsi"/>
              </w:rPr>
            </w:pPr>
            <w:r w:rsidRPr="0022558B">
              <w:rPr>
                <w:rFonts w:asciiTheme="minorHAnsi" w:hAnsiTheme="minorHAnsi" w:cstheme="minorHAnsi"/>
              </w:rPr>
              <w:t xml:space="preserve">2-3 </w:t>
            </w:r>
            <w:proofErr w:type="spellStart"/>
            <w:r w:rsidRPr="0022558B">
              <w:rPr>
                <w:rFonts w:asciiTheme="minorHAnsi" w:hAnsiTheme="minorHAnsi" w:cstheme="minorHAnsi"/>
              </w:rPr>
              <w:t>dage</w:t>
            </w:r>
            <w:proofErr w:type="spellEnd"/>
            <w:r w:rsidRPr="002255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558B">
              <w:rPr>
                <w:rFonts w:asciiTheme="minorHAnsi" w:hAnsiTheme="minorHAnsi" w:cstheme="minorHAnsi"/>
              </w:rPr>
              <w:t>før</w:t>
            </w:r>
            <w:proofErr w:type="spellEnd"/>
          </w:p>
          <w:p w14:paraId="79364C12" w14:textId="30504229" w:rsidR="00B8420D" w:rsidRDefault="00A6258C" w:rsidP="00A6258C">
            <w:r w:rsidRPr="0022558B">
              <w:rPr>
                <w:rFonts w:cstheme="minorHAnsi"/>
                <w:spacing w:val="-6"/>
              </w:rPr>
              <w:t xml:space="preserve">(&gt; 48 </w:t>
            </w:r>
            <w:proofErr w:type="spellStart"/>
            <w:r w:rsidRPr="0022558B">
              <w:rPr>
                <w:rFonts w:cstheme="minorHAnsi"/>
                <w:spacing w:val="-6"/>
              </w:rPr>
              <w:t>timer</w:t>
            </w:r>
            <w:proofErr w:type="spellEnd"/>
            <w:r w:rsidRPr="0022558B">
              <w:rPr>
                <w:rFonts w:cstheme="minorHAnsi"/>
                <w:spacing w:val="-6"/>
              </w:rPr>
              <w:t>)</w:t>
            </w:r>
          </w:p>
        </w:tc>
      </w:tr>
    </w:tbl>
    <w:p w14:paraId="3D54EF3B" w14:textId="7E6A7848" w:rsidR="00B8420D" w:rsidRDefault="00B8420D" w:rsidP="008C7377"/>
    <w:p w14:paraId="7F054A4B" w14:textId="77777777" w:rsidR="00657EB2" w:rsidRPr="00657EB2" w:rsidRDefault="00657EB2" w:rsidP="00657EB2">
      <w:pPr>
        <w:rPr>
          <w:b/>
          <w:bCs/>
        </w:rPr>
      </w:pPr>
      <w:proofErr w:type="spellStart"/>
      <w:r w:rsidRPr="00657EB2">
        <w:rPr>
          <w:b/>
          <w:bCs/>
        </w:rPr>
        <w:t>Spinalanæstesi</w:t>
      </w:r>
      <w:proofErr w:type="spellEnd"/>
      <w:r w:rsidRPr="00657EB2">
        <w:rPr>
          <w:b/>
          <w:bCs/>
        </w:rPr>
        <w:t xml:space="preserve"> / </w:t>
      </w:r>
      <w:proofErr w:type="spellStart"/>
      <w:r w:rsidRPr="00657EB2">
        <w:rPr>
          <w:b/>
          <w:bCs/>
        </w:rPr>
        <w:t>epiduralbedøvelse</w:t>
      </w:r>
      <w:proofErr w:type="spellEnd"/>
      <w:r w:rsidRPr="00657EB2">
        <w:rPr>
          <w:b/>
          <w:bCs/>
        </w:rPr>
        <w:t xml:space="preserve"> / </w:t>
      </w:r>
      <w:proofErr w:type="spellStart"/>
      <w:r w:rsidRPr="00657EB2">
        <w:rPr>
          <w:b/>
          <w:bCs/>
        </w:rPr>
        <w:t>lumbalpunktur</w:t>
      </w:r>
      <w:proofErr w:type="spellEnd"/>
    </w:p>
    <w:p w14:paraId="559557CB" w14:textId="749196FF" w:rsidR="00B8420D" w:rsidRDefault="00B37229" w:rsidP="00657EB2">
      <w:proofErr w:type="spellStart"/>
      <w:r>
        <w:t>Risikoen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spinal </w:t>
      </w:r>
      <w:proofErr w:type="spellStart"/>
      <w:r>
        <w:t>eller</w:t>
      </w:r>
      <w:proofErr w:type="spellEnd"/>
      <w:r>
        <w:t xml:space="preserve"> epidural </w:t>
      </w:r>
      <w:proofErr w:type="spellStart"/>
      <w:r>
        <w:t>hæmatomer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øges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traumatisk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gentagen</w:t>
      </w:r>
      <w:proofErr w:type="spellEnd"/>
      <w:r>
        <w:t xml:space="preserve"> </w:t>
      </w:r>
      <w:proofErr w:type="spellStart"/>
      <w:r>
        <w:t>punktering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langvarig</w:t>
      </w:r>
      <w:proofErr w:type="spellEnd"/>
      <w:r>
        <w:t xml:space="preserve"> </w:t>
      </w:r>
      <w:proofErr w:type="spellStart"/>
      <w:r>
        <w:t>brug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epidurale </w:t>
      </w:r>
      <w:proofErr w:type="spellStart"/>
      <w:r>
        <w:t>katetre</w:t>
      </w:r>
      <w:proofErr w:type="spellEnd"/>
      <w:r>
        <w:t xml:space="preserve">.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fjernelse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et </w:t>
      </w:r>
      <w:proofErr w:type="spellStart"/>
      <w:r>
        <w:t>kateter</w:t>
      </w:r>
      <w:proofErr w:type="spellEnd"/>
      <w:r>
        <w:t xml:space="preserve"> </w:t>
      </w:r>
      <w:proofErr w:type="spellStart"/>
      <w:r>
        <w:t>skal</w:t>
      </w:r>
      <w:proofErr w:type="spellEnd"/>
      <w:r>
        <w:t xml:space="preserve"> der </w:t>
      </w:r>
      <w:proofErr w:type="spellStart"/>
      <w:r>
        <w:t>opretholdes</w:t>
      </w:r>
      <w:proofErr w:type="spellEnd"/>
      <w:r>
        <w:t xml:space="preserve"> et </w:t>
      </w:r>
      <w:proofErr w:type="spellStart"/>
      <w:r>
        <w:t>interval</w:t>
      </w:r>
      <w:proofErr w:type="spellEnd"/>
      <w:r>
        <w:t xml:space="preserve"> </w:t>
      </w:r>
      <w:proofErr w:type="spellStart"/>
      <w:r>
        <w:lastRenderedPageBreak/>
        <w:t>på</w:t>
      </w:r>
      <w:proofErr w:type="spellEnd"/>
      <w:r>
        <w:t xml:space="preserve"> </w:t>
      </w:r>
      <w:proofErr w:type="spellStart"/>
      <w:r>
        <w:t>mindst</w:t>
      </w:r>
      <w:proofErr w:type="spellEnd"/>
      <w:r>
        <w:t xml:space="preserve"> 2 </w:t>
      </w:r>
      <w:proofErr w:type="spellStart"/>
      <w:r>
        <w:t>timer</w:t>
      </w:r>
      <w:proofErr w:type="spellEnd"/>
      <w:r>
        <w:t xml:space="preserve">, </w:t>
      </w:r>
      <w:proofErr w:type="spellStart"/>
      <w:r>
        <w:t>før</w:t>
      </w:r>
      <w:proofErr w:type="spellEnd"/>
      <w:r>
        <w:t xml:space="preserve"> den </w:t>
      </w:r>
      <w:proofErr w:type="spellStart"/>
      <w:r>
        <w:t>første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tages</w:t>
      </w:r>
      <w:proofErr w:type="spellEnd"/>
      <w:r>
        <w:t xml:space="preserve">. Hos </w:t>
      </w:r>
      <w:proofErr w:type="spellStart"/>
      <w:r>
        <w:t>disse</w:t>
      </w:r>
      <w:proofErr w:type="spellEnd"/>
      <w:r>
        <w:t xml:space="preserve"> </w:t>
      </w:r>
      <w:proofErr w:type="spellStart"/>
      <w:r w:rsidR="00657EB2" w:rsidRPr="0022558B">
        <w:rPr>
          <w:rFonts w:cstheme="minorHAnsi"/>
          <w:spacing w:val="-2"/>
        </w:rPr>
        <w:t>patienter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kræves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hyppig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kontrol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af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neurologiske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tegn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og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symptomer</w:t>
      </w:r>
      <w:proofErr w:type="spellEnd"/>
      <w:r w:rsidR="00657EB2" w:rsidRPr="0022558B">
        <w:rPr>
          <w:rFonts w:cstheme="minorHAnsi"/>
          <w:spacing w:val="-2"/>
        </w:rPr>
        <w:t xml:space="preserve"> </w:t>
      </w:r>
      <w:proofErr w:type="spellStart"/>
      <w:r w:rsidR="00657EB2" w:rsidRPr="0022558B">
        <w:rPr>
          <w:rFonts w:cstheme="minorHAnsi"/>
          <w:spacing w:val="-2"/>
        </w:rPr>
        <w:t>på</w:t>
      </w:r>
      <w:proofErr w:type="spellEnd"/>
      <w:r w:rsidR="00657EB2" w:rsidRPr="0022558B">
        <w:rPr>
          <w:rFonts w:cstheme="minorHAnsi"/>
          <w:spacing w:val="-2"/>
        </w:rPr>
        <w:t xml:space="preserve"> spinal </w:t>
      </w:r>
      <w:proofErr w:type="spellStart"/>
      <w:r w:rsidR="00657EB2" w:rsidRPr="0022558B">
        <w:rPr>
          <w:rFonts w:cstheme="minorHAnsi"/>
          <w:spacing w:val="-2"/>
        </w:rPr>
        <w:t>eller</w:t>
      </w:r>
      <w:proofErr w:type="spellEnd"/>
      <w:r w:rsidR="00657EB2" w:rsidRPr="0022558B">
        <w:rPr>
          <w:rFonts w:cstheme="minorHAnsi"/>
          <w:spacing w:val="-2"/>
        </w:rPr>
        <w:t xml:space="preserve"> epidural </w:t>
      </w:r>
      <w:proofErr w:type="spellStart"/>
      <w:r w:rsidR="00657EB2" w:rsidRPr="0022558B">
        <w:rPr>
          <w:rFonts w:cstheme="minorHAnsi"/>
          <w:spacing w:val="-2"/>
        </w:rPr>
        <w:t>hæmatomer</w:t>
      </w:r>
      <w:proofErr w:type="spellEnd"/>
      <w:r w:rsidR="00657EB2" w:rsidRPr="0022558B">
        <w:rPr>
          <w:rFonts w:cstheme="minorHAnsi"/>
          <w:spacing w:val="-2"/>
        </w:rPr>
        <w:t>.</w:t>
      </w:r>
    </w:p>
    <w:p w14:paraId="439E2044" w14:textId="021FB67C" w:rsidR="00B8420D" w:rsidRDefault="00B8420D" w:rsidP="008C7377"/>
    <w:p w14:paraId="15A85FDB" w14:textId="4EF756B4" w:rsidR="00657EB2" w:rsidRPr="00740AE4" w:rsidRDefault="00657EB2" w:rsidP="008C7377">
      <w:pPr>
        <w:rPr>
          <w:b/>
          <w:bCs/>
          <w:sz w:val="28"/>
          <w:szCs w:val="28"/>
        </w:rPr>
      </w:pPr>
      <w:bookmarkStart w:id="10" w:name="_Toc161921299"/>
      <w:proofErr w:type="spellStart"/>
      <w:r w:rsidRPr="006D3808">
        <w:rPr>
          <w:rStyle w:val="Overskrift1Tegn"/>
        </w:rPr>
        <w:t>Koagulationsprøver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og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fortolkningen</w:t>
      </w:r>
      <w:proofErr w:type="spellEnd"/>
      <w:r w:rsidRPr="006D3808">
        <w:rPr>
          <w:rStyle w:val="Overskrift1Tegn"/>
        </w:rPr>
        <w:t xml:space="preserve"> heraf</w:t>
      </w:r>
      <w:bookmarkEnd w:id="10"/>
      <w:r w:rsidR="00740AE4" w:rsidRPr="00740AE4">
        <w:rPr>
          <w:b/>
          <w:bCs/>
          <w:sz w:val="28"/>
          <w:szCs w:val="28"/>
          <w:vertAlign w:val="superscript"/>
        </w:rPr>
        <w:t>1,2</w:t>
      </w:r>
    </w:p>
    <w:p w14:paraId="1339DE67" w14:textId="367C6180" w:rsidR="00657EB2" w:rsidRDefault="00657EB2" w:rsidP="00657EB2">
      <w:proofErr w:type="spellStart"/>
      <w:r>
        <w:t>Rutinemæssig</w:t>
      </w:r>
      <w:proofErr w:type="spellEnd"/>
      <w:r>
        <w:t xml:space="preserve"> </w:t>
      </w:r>
      <w:proofErr w:type="spellStart"/>
      <w:r>
        <w:t>koagulationsmonitorering</w:t>
      </w:r>
      <w:proofErr w:type="spellEnd"/>
      <w:r>
        <w:t xml:space="preserve"> er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nødvendig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med dabigatranetexilat</w:t>
      </w:r>
      <w:r w:rsidRPr="00740AE4">
        <w:rPr>
          <w:vertAlign w:val="superscript"/>
        </w:rPr>
        <w:t>3,4</w:t>
      </w:r>
      <w:r>
        <w:t>.</w:t>
      </w:r>
    </w:p>
    <w:p w14:paraId="2E15E30C" w14:textId="0B27C15A" w:rsidR="00657EB2" w:rsidRDefault="00657EB2" w:rsidP="00657EB2">
      <w:proofErr w:type="spellStart"/>
      <w:r>
        <w:t>Hvis</w:t>
      </w:r>
      <w:proofErr w:type="spellEnd"/>
      <w:r>
        <w:t xml:space="preserve"> der er </w:t>
      </w:r>
      <w:proofErr w:type="spellStart"/>
      <w:r>
        <w:t>mistanke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en </w:t>
      </w:r>
      <w:proofErr w:type="spellStart"/>
      <w:r>
        <w:t>overdosis</w:t>
      </w:r>
      <w:proofErr w:type="spellEnd"/>
      <w:r>
        <w:t xml:space="preserve">,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</w:t>
      </w:r>
      <w:r w:rsidR="00260EC9">
        <w:t>vis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 </w:t>
      </w:r>
      <w:proofErr w:type="spellStart"/>
      <w:r>
        <w:t>behandlet</w:t>
      </w:r>
      <w:proofErr w:type="spellEnd"/>
      <w:r>
        <w:t xml:space="preserve"> med </w:t>
      </w:r>
      <w:proofErr w:type="spellStart"/>
      <w:r>
        <w:t>dabigatranetexilat</w:t>
      </w:r>
      <w:proofErr w:type="spellEnd"/>
      <w:r>
        <w:t xml:space="preserve"> </w:t>
      </w:r>
      <w:proofErr w:type="spellStart"/>
      <w:r w:rsidR="00260EC9">
        <w:t>kommer</w:t>
      </w:r>
      <w:proofErr w:type="spellEnd"/>
      <w:r w:rsidR="00260EC9">
        <w:t xml:space="preserve"> </w:t>
      </w:r>
      <w:proofErr w:type="spellStart"/>
      <w:r w:rsidR="00260EC9">
        <w:t>på</w:t>
      </w:r>
      <w:proofErr w:type="spellEnd"/>
      <w:r w:rsidR="00260EC9">
        <w:t xml:space="preserve"> </w:t>
      </w:r>
      <w:proofErr w:type="spellStart"/>
      <w:r w:rsidR="00260EC9">
        <w:t>skadestuen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r w:rsidR="00260EC9">
        <w:t xml:space="preserve">en </w:t>
      </w:r>
      <w:proofErr w:type="spellStart"/>
      <w:r>
        <w:t>koagulationstest</w:t>
      </w:r>
      <w:proofErr w:type="spellEnd"/>
      <w:r>
        <w:t xml:space="preserve"> </w:t>
      </w:r>
      <w:proofErr w:type="spellStart"/>
      <w:r>
        <w:t>hjælpe</w:t>
      </w:r>
      <w:proofErr w:type="spellEnd"/>
      <w:r>
        <w:t xml:space="preserve"> med at </w:t>
      </w:r>
      <w:proofErr w:type="spellStart"/>
      <w:r w:rsidR="00260EC9">
        <w:t>vurdere</w:t>
      </w:r>
      <w:proofErr w:type="spellEnd"/>
      <w:r w:rsidR="00260EC9">
        <w:t xml:space="preserve"> </w:t>
      </w:r>
      <w:proofErr w:type="spellStart"/>
      <w:r w:rsidR="00260EC9">
        <w:t>blødningsrisikoen</w:t>
      </w:r>
      <w:proofErr w:type="spellEnd"/>
      <w:r>
        <w:t>.</w:t>
      </w:r>
    </w:p>
    <w:p w14:paraId="18B3FDBB" w14:textId="77777777" w:rsidR="00657EB2" w:rsidRDefault="00657EB2" w:rsidP="00657EB2"/>
    <w:p w14:paraId="4C19B584" w14:textId="77777777" w:rsidR="00657EB2" w:rsidRPr="00740AE4" w:rsidRDefault="00657EB2" w:rsidP="00657EB2">
      <w:pPr>
        <w:rPr>
          <w:b/>
          <w:bCs/>
        </w:rPr>
      </w:pPr>
      <w:r w:rsidRPr="00740AE4">
        <w:rPr>
          <w:b/>
          <w:bCs/>
        </w:rPr>
        <w:t>Globale (</w:t>
      </w:r>
      <w:proofErr w:type="spellStart"/>
      <w:r w:rsidRPr="00740AE4">
        <w:rPr>
          <w:b/>
          <w:bCs/>
        </w:rPr>
        <w:t>ikke-specifikke</w:t>
      </w:r>
      <w:proofErr w:type="spellEnd"/>
      <w:r w:rsidRPr="00740AE4">
        <w:rPr>
          <w:b/>
          <w:bCs/>
        </w:rPr>
        <w:t xml:space="preserve">) </w:t>
      </w:r>
      <w:proofErr w:type="spellStart"/>
      <w:r w:rsidRPr="00740AE4">
        <w:rPr>
          <w:b/>
          <w:bCs/>
        </w:rPr>
        <w:t>koagulationstest</w:t>
      </w:r>
      <w:proofErr w:type="spellEnd"/>
    </w:p>
    <w:p w14:paraId="115566D7" w14:textId="07A37951" w:rsidR="00657EB2" w:rsidRPr="00740AE4" w:rsidRDefault="00740AE4" w:rsidP="00657EB2">
      <w:pPr>
        <w:rPr>
          <w:b/>
          <w:bCs/>
        </w:rPr>
      </w:pPr>
      <w:r>
        <w:t xml:space="preserve">• </w:t>
      </w:r>
      <w:proofErr w:type="spellStart"/>
      <w:r w:rsidR="00657EB2" w:rsidRPr="00740AE4">
        <w:rPr>
          <w:b/>
          <w:bCs/>
        </w:rPr>
        <w:t>Protrombintid</w:t>
      </w:r>
      <w:proofErr w:type="spellEnd"/>
      <w:r w:rsidR="00657EB2" w:rsidRPr="00740AE4">
        <w:rPr>
          <w:b/>
          <w:bCs/>
        </w:rPr>
        <w:t xml:space="preserve"> </w:t>
      </w:r>
      <w:proofErr w:type="spellStart"/>
      <w:r w:rsidR="00657EB2" w:rsidRPr="00740AE4">
        <w:rPr>
          <w:b/>
          <w:bCs/>
        </w:rPr>
        <w:t>udtrykt</w:t>
      </w:r>
      <w:proofErr w:type="spellEnd"/>
      <w:r w:rsidR="00657EB2" w:rsidRPr="00740AE4">
        <w:rPr>
          <w:b/>
          <w:bCs/>
        </w:rPr>
        <w:t xml:space="preserve"> </w:t>
      </w:r>
      <w:proofErr w:type="spellStart"/>
      <w:r w:rsidR="00657EB2" w:rsidRPr="00740AE4">
        <w:rPr>
          <w:b/>
          <w:bCs/>
        </w:rPr>
        <w:t>som</w:t>
      </w:r>
      <w:proofErr w:type="spellEnd"/>
      <w:r w:rsidR="00657EB2" w:rsidRPr="00740AE4">
        <w:rPr>
          <w:b/>
          <w:bCs/>
        </w:rPr>
        <w:t xml:space="preserve"> INR-</w:t>
      </w:r>
      <w:proofErr w:type="spellStart"/>
      <w:r w:rsidR="00657EB2" w:rsidRPr="00740AE4">
        <w:rPr>
          <w:b/>
          <w:bCs/>
        </w:rPr>
        <w:t>værdi</w:t>
      </w:r>
      <w:proofErr w:type="spellEnd"/>
      <w:r w:rsidR="00657EB2" w:rsidRPr="00740AE4">
        <w:rPr>
          <w:b/>
          <w:bCs/>
        </w:rPr>
        <w:t xml:space="preserve"> (International </w:t>
      </w:r>
      <w:proofErr w:type="spellStart"/>
      <w:r w:rsidR="00657EB2" w:rsidRPr="00740AE4">
        <w:rPr>
          <w:b/>
          <w:bCs/>
        </w:rPr>
        <w:t>Normalised</w:t>
      </w:r>
      <w:proofErr w:type="spellEnd"/>
      <w:r w:rsidR="00657EB2" w:rsidRPr="00740AE4">
        <w:rPr>
          <w:b/>
          <w:bCs/>
        </w:rPr>
        <w:t xml:space="preserve"> Ratio)</w:t>
      </w:r>
    </w:p>
    <w:p w14:paraId="14571070" w14:textId="35AE60D3" w:rsidR="00657EB2" w:rsidRDefault="00CA5FB1" w:rsidP="00657EB2">
      <w:proofErr w:type="spellStart"/>
      <w:r>
        <w:t>Måling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protrombintid</w:t>
      </w:r>
      <w:proofErr w:type="spellEnd"/>
      <w:r>
        <w:t xml:space="preserve">, </w:t>
      </w:r>
      <w:proofErr w:type="spellStart"/>
      <w:r>
        <w:t>udtrykt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en INR-</w:t>
      </w:r>
      <w:proofErr w:type="spellStart"/>
      <w:r>
        <w:t>værdi</w:t>
      </w:r>
      <w:proofErr w:type="spellEnd"/>
      <w:r>
        <w:t xml:space="preserve">, er </w:t>
      </w:r>
      <w:proofErr w:type="spellStart"/>
      <w:r>
        <w:t>upålidelig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udføres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dabigatranetexilat</w:t>
      </w:r>
      <w:proofErr w:type="spellEnd"/>
      <w:r>
        <w:t>.</w:t>
      </w:r>
    </w:p>
    <w:p w14:paraId="6B1E535B" w14:textId="1BCD35E4" w:rsidR="00657EB2" w:rsidRDefault="00740AE4" w:rsidP="00657EB2">
      <w:r>
        <w:t xml:space="preserve">• </w:t>
      </w:r>
      <w:proofErr w:type="spellStart"/>
      <w:r w:rsidR="00657EB2" w:rsidRPr="00740AE4">
        <w:rPr>
          <w:b/>
          <w:bCs/>
        </w:rPr>
        <w:t>Aktiveret</w:t>
      </w:r>
      <w:proofErr w:type="spellEnd"/>
      <w:r w:rsidR="00657EB2" w:rsidRPr="00740AE4">
        <w:rPr>
          <w:b/>
          <w:bCs/>
        </w:rPr>
        <w:t xml:space="preserve"> </w:t>
      </w:r>
      <w:proofErr w:type="spellStart"/>
      <w:r w:rsidR="00657EB2" w:rsidRPr="00740AE4">
        <w:rPr>
          <w:b/>
          <w:bCs/>
        </w:rPr>
        <w:t>partiel</w:t>
      </w:r>
      <w:proofErr w:type="spellEnd"/>
      <w:r w:rsidR="00657EB2" w:rsidRPr="00740AE4">
        <w:rPr>
          <w:b/>
          <w:bCs/>
        </w:rPr>
        <w:t xml:space="preserve"> </w:t>
      </w:r>
      <w:proofErr w:type="spellStart"/>
      <w:r w:rsidR="00657EB2" w:rsidRPr="00740AE4">
        <w:rPr>
          <w:b/>
          <w:bCs/>
        </w:rPr>
        <w:t>tromboplastintid</w:t>
      </w:r>
      <w:proofErr w:type="spellEnd"/>
      <w:r w:rsidR="00657EB2" w:rsidRPr="00740AE4">
        <w:rPr>
          <w:b/>
          <w:bCs/>
        </w:rPr>
        <w:t xml:space="preserve"> (</w:t>
      </w:r>
      <w:proofErr w:type="spellStart"/>
      <w:r w:rsidR="00657EB2" w:rsidRPr="00740AE4">
        <w:rPr>
          <w:b/>
          <w:bCs/>
        </w:rPr>
        <w:t>aPTT</w:t>
      </w:r>
      <w:proofErr w:type="spellEnd"/>
      <w:r w:rsidR="00657EB2" w:rsidRPr="00740AE4">
        <w:rPr>
          <w:b/>
          <w:bCs/>
        </w:rPr>
        <w:t>)</w:t>
      </w:r>
    </w:p>
    <w:p w14:paraId="0570AC85" w14:textId="77777777" w:rsidR="00657EB2" w:rsidRDefault="00657EB2" w:rsidP="00657EB2">
      <w:r>
        <w:t xml:space="preserve">APTT-testen </w:t>
      </w:r>
      <w:proofErr w:type="spellStart"/>
      <w:r>
        <w:t>giver</w:t>
      </w:r>
      <w:proofErr w:type="spellEnd"/>
      <w:r>
        <w:t xml:space="preserve"> et </w:t>
      </w:r>
      <w:proofErr w:type="spellStart"/>
      <w:r>
        <w:t>omtrentligt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antikoagulant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dabigatran</w:t>
      </w:r>
      <w:proofErr w:type="spellEnd"/>
      <w:r>
        <w:t xml:space="preserve">. </w:t>
      </w:r>
      <w:proofErr w:type="spellStart"/>
      <w:r>
        <w:t>Dette</w:t>
      </w:r>
      <w:proofErr w:type="spellEnd"/>
      <w:r>
        <w:t xml:space="preserve"> er </w:t>
      </w:r>
      <w:proofErr w:type="spellStart"/>
      <w:r>
        <w:t>imidlertid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egnet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en </w:t>
      </w:r>
      <w:proofErr w:type="spellStart"/>
      <w:r>
        <w:t>nøjagtig</w:t>
      </w:r>
      <w:proofErr w:type="spellEnd"/>
      <w:r>
        <w:t xml:space="preserve"> </w:t>
      </w:r>
      <w:proofErr w:type="spellStart"/>
      <w:r>
        <w:t>kvantificering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antikoagulerende</w:t>
      </w:r>
      <w:proofErr w:type="spellEnd"/>
      <w:r>
        <w:t xml:space="preserve"> </w:t>
      </w:r>
      <w:proofErr w:type="spellStart"/>
      <w:r>
        <w:t>virkning</w:t>
      </w:r>
      <w:proofErr w:type="spellEnd"/>
      <w:r>
        <w:t>.</w:t>
      </w:r>
    </w:p>
    <w:p w14:paraId="4E971181" w14:textId="77777777" w:rsidR="00657EB2" w:rsidRDefault="00657EB2" w:rsidP="00657EB2"/>
    <w:p w14:paraId="14875BA1" w14:textId="77777777" w:rsidR="00657EB2" w:rsidRPr="00740AE4" w:rsidRDefault="00657EB2" w:rsidP="00657EB2">
      <w:pPr>
        <w:rPr>
          <w:b/>
          <w:bCs/>
        </w:rPr>
      </w:pPr>
      <w:proofErr w:type="spellStart"/>
      <w:r w:rsidRPr="00740AE4">
        <w:rPr>
          <w:b/>
          <w:bCs/>
        </w:rPr>
        <w:t>Specifikke</w:t>
      </w:r>
      <w:proofErr w:type="spellEnd"/>
      <w:r w:rsidRPr="00740AE4">
        <w:rPr>
          <w:b/>
          <w:bCs/>
        </w:rPr>
        <w:t xml:space="preserve"> </w:t>
      </w:r>
      <w:proofErr w:type="spellStart"/>
      <w:r w:rsidRPr="00740AE4">
        <w:rPr>
          <w:b/>
          <w:bCs/>
        </w:rPr>
        <w:t>koagulationstest</w:t>
      </w:r>
      <w:proofErr w:type="spellEnd"/>
      <w:r w:rsidRPr="00740AE4">
        <w:rPr>
          <w:b/>
          <w:bCs/>
        </w:rPr>
        <w:t xml:space="preserve"> </w:t>
      </w:r>
      <w:proofErr w:type="spellStart"/>
      <w:r w:rsidRPr="00740AE4">
        <w:rPr>
          <w:b/>
          <w:bCs/>
        </w:rPr>
        <w:t>for</w:t>
      </w:r>
      <w:proofErr w:type="spellEnd"/>
      <w:r w:rsidRPr="00740AE4">
        <w:rPr>
          <w:b/>
          <w:bCs/>
        </w:rPr>
        <w:t xml:space="preserve"> </w:t>
      </w:r>
      <w:proofErr w:type="spellStart"/>
      <w:r w:rsidRPr="00740AE4">
        <w:rPr>
          <w:b/>
          <w:bCs/>
        </w:rPr>
        <w:t>dabigatranetexilat</w:t>
      </w:r>
      <w:proofErr w:type="spellEnd"/>
    </w:p>
    <w:p w14:paraId="63D5074F" w14:textId="2DDC32B0" w:rsidR="00657EB2" w:rsidRDefault="0079187C" w:rsidP="00657EB2">
      <w:r>
        <w:t xml:space="preserve">Til </w:t>
      </w:r>
      <w:proofErr w:type="spellStart"/>
      <w:r>
        <w:t>kvantitativ</w:t>
      </w:r>
      <w:proofErr w:type="spellEnd"/>
      <w:r>
        <w:t xml:space="preserve"> </w:t>
      </w:r>
      <w:proofErr w:type="spellStart"/>
      <w:r>
        <w:t>bestemmelse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plasmakoncentrationen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</w:t>
      </w:r>
      <w:proofErr w:type="spellEnd"/>
      <w:r>
        <w:t xml:space="preserve"> er der </w:t>
      </w:r>
      <w:proofErr w:type="spellStart"/>
      <w:r>
        <w:t>udviklet</w:t>
      </w:r>
      <w:proofErr w:type="spellEnd"/>
      <w:r>
        <w:t xml:space="preserve"> </w:t>
      </w:r>
      <w:proofErr w:type="spellStart"/>
      <w:r>
        <w:t>flere</w:t>
      </w:r>
      <w:proofErr w:type="spellEnd"/>
      <w:r>
        <w:t xml:space="preserve"> testprocedurer</w:t>
      </w:r>
      <w:r w:rsidRPr="00972C87">
        <w:rPr>
          <w:vertAlign w:val="superscript"/>
        </w:rPr>
        <w:t xml:space="preserve">5-8 </w:t>
      </w:r>
      <w:proofErr w:type="spellStart"/>
      <w:r>
        <w:t>baseret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bestemmelse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trombintid</w:t>
      </w:r>
      <w:proofErr w:type="spellEnd"/>
      <w:r>
        <w:t xml:space="preserve"> (TT).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eksempel</w:t>
      </w:r>
      <w:proofErr w:type="spellEnd"/>
      <w:r>
        <w:t>:</w:t>
      </w:r>
    </w:p>
    <w:p w14:paraId="7E8655E9" w14:textId="34CB401E" w:rsidR="00657EB2" w:rsidRPr="004567E9" w:rsidRDefault="004567E9" w:rsidP="00657EB2">
      <w:pPr>
        <w:rPr>
          <w:b/>
          <w:bCs/>
        </w:rPr>
      </w:pPr>
      <w:r>
        <w:t xml:space="preserve">• </w:t>
      </w:r>
      <w:r w:rsidR="00657EB2" w:rsidRPr="004567E9">
        <w:rPr>
          <w:b/>
          <w:bCs/>
        </w:rPr>
        <w:t xml:space="preserve"> </w:t>
      </w:r>
      <w:proofErr w:type="spellStart"/>
      <w:r w:rsidR="00657EB2" w:rsidRPr="004567E9">
        <w:rPr>
          <w:b/>
          <w:bCs/>
        </w:rPr>
        <w:t>Trombintid</w:t>
      </w:r>
      <w:proofErr w:type="spellEnd"/>
      <w:r w:rsidR="00657EB2" w:rsidRPr="004567E9">
        <w:rPr>
          <w:b/>
          <w:bCs/>
        </w:rPr>
        <w:t xml:space="preserve"> (TT), </w:t>
      </w:r>
      <w:proofErr w:type="spellStart"/>
      <w:r w:rsidR="00657EB2" w:rsidRPr="004567E9">
        <w:rPr>
          <w:b/>
          <w:bCs/>
        </w:rPr>
        <w:t>ecarinkoagulationstid</w:t>
      </w:r>
      <w:proofErr w:type="spellEnd"/>
      <w:r w:rsidR="00657EB2" w:rsidRPr="004567E9">
        <w:rPr>
          <w:b/>
          <w:bCs/>
        </w:rPr>
        <w:t xml:space="preserve"> (ECT), </w:t>
      </w:r>
      <w:proofErr w:type="spellStart"/>
      <w:r w:rsidR="00657EB2" w:rsidRPr="004567E9">
        <w:rPr>
          <w:b/>
          <w:bCs/>
        </w:rPr>
        <w:t>trombintid</w:t>
      </w:r>
      <w:proofErr w:type="spellEnd"/>
      <w:r w:rsidR="00657EB2" w:rsidRPr="004567E9">
        <w:rPr>
          <w:b/>
          <w:bCs/>
        </w:rPr>
        <w:t xml:space="preserve"> i </w:t>
      </w:r>
      <w:proofErr w:type="spellStart"/>
      <w:r w:rsidR="00657EB2" w:rsidRPr="004567E9">
        <w:rPr>
          <w:b/>
          <w:bCs/>
        </w:rPr>
        <w:t>fortyndede</w:t>
      </w:r>
      <w:proofErr w:type="spellEnd"/>
      <w:r w:rsidR="00657EB2" w:rsidRPr="004567E9">
        <w:rPr>
          <w:b/>
          <w:bCs/>
        </w:rPr>
        <w:t xml:space="preserve"> </w:t>
      </w:r>
      <w:proofErr w:type="spellStart"/>
      <w:r w:rsidR="00657EB2" w:rsidRPr="004567E9">
        <w:rPr>
          <w:b/>
          <w:bCs/>
        </w:rPr>
        <w:t>plasmaprøver</w:t>
      </w:r>
      <w:proofErr w:type="spellEnd"/>
      <w:r w:rsidR="00657EB2" w:rsidRPr="004567E9">
        <w:rPr>
          <w:b/>
          <w:bCs/>
        </w:rPr>
        <w:t xml:space="preserve"> (</w:t>
      </w:r>
      <w:proofErr w:type="spellStart"/>
      <w:r w:rsidR="00657EB2" w:rsidRPr="004567E9">
        <w:rPr>
          <w:b/>
          <w:bCs/>
        </w:rPr>
        <w:t>dTT</w:t>
      </w:r>
      <w:proofErr w:type="spellEnd"/>
      <w:r w:rsidR="00657EB2" w:rsidRPr="004567E9">
        <w:rPr>
          <w:b/>
          <w:bCs/>
        </w:rPr>
        <w:t>)</w:t>
      </w:r>
    </w:p>
    <w:p w14:paraId="029AC149" w14:textId="37AEF5C6" w:rsidR="00657EB2" w:rsidRDefault="00657EB2" w:rsidP="00657EB2">
      <w:r>
        <w:t xml:space="preserve">Der er en klar </w:t>
      </w:r>
      <w:proofErr w:type="spellStart"/>
      <w:r>
        <w:t>sammenhæng</w:t>
      </w:r>
      <w:proofErr w:type="spellEnd"/>
      <w:r>
        <w:t xml:space="preserve"> </w:t>
      </w:r>
      <w:proofErr w:type="spellStart"/>
      <w:r>
        <w:t>mellem</w:t>
      </w:r>
      <w:proofErr w:type="spellEnd"/>
      <w:r>
        <w:t xml:space="preserve"> </w:t>
      </w:r>
      <w:proofErr w:type="spellStart"/>
      <w:r>
        <w:t>koncentrationen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dabigatranplasma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graden </w:t>
      </w:r>
      <w:proofErr w:type="spellStart"/>
      <w:r>
        <w:t>af</w:t>
      </w:r>
      <w:proofErr w:type="spellEnd"/>
      <w:r>
        <w:t xml:space="preserve"> </w:t>
      </w:r>
      <w:proofErr w:type="spellStart"/>
      <w:r>
        <w:t>antikoagulantia</w:t>
      </w:r>
      <w:proofErr w:type="spellEnd"/>
      <w:r>
        <w:t xml:space="preserve"> aktivitet</w:t>
      </w:r>
      <w:r w:rsidRPr="00972C87">
        <w:rPr>
          <w:vertAlign w:val="superscript"/>
        </w:rPr>
        <w:t>1,2</w:t>
      </w:r>
      <w:r>
        <w:t>.</w:t>
      </w:r>
    </w:p>
    <w:p w14:paraId="330B8A5A" w14:textId="50147299" w:rsidR="00265906" w:rsidRDefault="00657EB2" w:rsidP="00657EB2">
      <w:r w:rsidRPr="00657EB2">
        <w:t xml:space="preserve">En normal </w:t>
      </w:r>
      <w:proofErr w:type="spellStart"/>
      <w:r w:rsidRPr="00657EB2">
        <w:t>dTT-aflæsning</w:t>
      </w:r>
      <w:proofErr w:type="spellEnd"/>
      <w:r w:rsidRPr="00657EB2">
        <w:t xml:space="preserve"> </w:t>
      </w:r>
      <w:proofErr w:type="spellStart"/>
      <w:r w:rsidRPr="00657EB2">
        <w:t>indikerer</w:t>
      </w:r>
      <w:proofErr w:type="spellEnd"/>
      <w:r w:rsidRPr="00657EB2">
        <w:t xml:space="preserve"> </w:t>
      </w:r>
      <w:proofErr w:type="spellStart"/>
      <w:r w:rsidRPr="00657EB2">
        <w:t>fraværet</w:t>
      </w:r>
      <w:proofErr w:type="spellEnd"/>
      <w:r w:rsidRPr="00657EB2">
        <w:t xml:space="preserve"> </w:t>
      </w:r>
      <w:proofErr w:type="spellStart"/>
      <w:r w:rsidRPr="00657EB2">
        <w:t>af</w:t>
      </w:r>
      <w:proofErr w:type="spellEnd"/>
      <w:r w:rsidRPr="00657EB2">
        <w:t xml:space="preserve"> en </w:t>
      </w:r>
      <w:proofErr w:type="spellStart"/>
      <w:r w:rsidRPr="00657EB2">
        <w:t>klinisk</w:t>
      </w:r>
      <w:proofErr w:type="spellEnd"/>
      <w:r w:rsidRPr="00657EB2">
        <w:t xml:space="preserve"> relevant </w:t>
      </w:r>
      <w:proofErr w:type="spellStart"/>
      <w:r w:rsidRPr="00657EB2">
        <w:t>antikoagulerende</w:t>
      </w:r>
      <w:proofErr w:type="spellEnd"/>
      <w:r w:rsidRPr="00657EB2">
        <w:t xml:space="preserve"> </w:t>
      </w:r>
      <w:proofErr w:type="spellStart"/>
      <w:r w:rsidRPr="00657EB2">
        <w:t>virkning</w:t>
      </w:r>
      <w:proofErr w:type="spellEnd"/>
      <w:r w:rsidRPr="00657EB2">
        <w:t xml:space="preserve"> </w:t>
      </w:r>
      <w:proofErr w:type="spellStart"/>
      <w:r w:rsidRPr="00657EB2">
        <w:t>af</w:t>
      </w:r>
      <w:proofErr w:type="spellEnd"/>
      <w:r w:rsidRPr="00657EB2">
        <w:t xml:space="preserve"> </w:t>
      </w:r>
      <w:proofErr w:type="spellStart"/>
      <w:r w:rsidRPr="00657EB2">
        <w:t>dabigatran</w:t>
      </w:r>
      <w:proofErr w:type="spellEnd"/>
      <w:r w:rsidRPr="00657EB2">
        <w:t xml:space="preserve">. </w:t>
      </w:r>
      <w:proofErr w:type="spellStart"/>
      <w:r w:rsidRPr="00657EB2">
        <w:t>Trombintid</w:t>
      </w:r>
      <w:proofErr w:type="spellEnd"/>
      <w:r w:rsidRPr="00657EB2">
        <w:t xml:space="preserve"> (TT) </w:t>
      </w:r>
      <w:proofErr w:type="spellStart"/>
      <w:r w:rsidRPr="00657EB2">
        <w:t>og</w:t>
      </w:r>
      <w:proofErr w:type="spellEnd"/>
      <w:r w:rsidRPr="00657EB2">
        <w:t xml:space="preserve"> </w:t>
      </w:r>
      <w:proofErr w:type="spellStart"/>
      <w:r w:rsidRPr="00657EB2">
        <w:t>ecarinkoagulationstid</w:t>
      </w:r>
      <w:proofErr w:type="spellEnd"/>
      <w:r w:rsidRPr="00657EB2">
        <w:t xml:space="preserve"> (ECT) </w:t>
      </w:r>
      <w:proofErr w:type="spellStart"/>
      <w:r w:rsidRPr="00657EB2">
        <w:t>kan</w:t>
      </w:r>
      <w:proofErr w:type="spellEnd"/>
      <w:r w:rsidRPr="00657EB2">
        <w:t xml:space="preserve"> </w:t>
      </w:r>
      <w:proofErr w:type="spellStart"/>
      <w:r w:rsidRPr="00657EB2">
        <w:t>give</w:t>
      </w:r>
      <w:proofErr w:type="spellEnd"/>
      <w:r w:rsidRPr="00657EB2">
        <w:t xml:space="preserve"> </w:t>
      </w:r>
      <w:proofErr w:type="spellStart"/>
      <w:r w:rsidRPr="00657EB2">
        <w:t>nyttige</w:t>
      </w:r>
      <w:proofErr w:type="spellEnd"/>
      <w:r w:rsidRPr="00657EB2">
        <w:t xml:space="preserve"> </w:t>
      </w:r>
      <w:proofErr w:type="spellStart"/>
      <w:r w:rsidR="000D7FBE">
        <w:t>information</w:t>
      </w:r>
      <w:proofErr w:type="spellEnd"/>
      <w:r w:rsidRPr="00657EB2">
        <w:t xml:space="preserve">, </w:t>
      </w:r>
      <w:proofErr w:type="spellStart"/>
      <w:r w:rsidRPr="00657EB2">
        <w:t>men</w:t>
      </w:r>
      <w:proofErr w:type="spellEnd"/>
      <w:r w:rsidRPr="00657EB2">
        <w:t xml:space="preserve"> </w:t>
      </w:r>
      <w:proofErr w:type="spellStart"/>
      <w:r w:rsidRPr="00657EB2">
        <w:t>disse</w:t>
      </w:r>
      <w:proofErr w:type="spellEnd"/>
      <w:r w:rsidRPr="00657EB2">
        <w:t xml:space="preserve"> </w:t>
      </w:r>
      <w:proofErr w:type="spellStart"/>
      <w:r w:rsidRPr="00657EB2">
        <w:t>tests</w:t>
      </w:r>
      <w:proofErr w:type="spellEnd"/>
      <w:r w:rsidRPr="00657EB2">
        <w:t xml:space="preserve"> er </w:t>
      </w:r>
      <w:proofErr w:type="spellStart"/>
      <w:r w:rsidRPr="00657EB2">
        <w:t>ikke</w:t>
      </w:r>
      <w:proofErr w:type="spellEnd"/>
      <w:r w:rsidRPr="00657EB2">
        <w:t xml:space="preserve"> </w:t>
      </w:r>
      <w:proofErr w:type="spellStart"/>
      <w:r w:rsidRPr="00657EB2">
        <w:t>standardiserede</w:t>
      </w:r>
      <w:proofErr w:type="spellEnd"/>
      <w:r w:rsidRPr="00657EB2">
        <w:t>.</w:t>
      </w:r>
    </w:p>
    <w:p w14:paraId="21C336D2" w14:textId="284F6D03" w:rsidR="004567E9" w:rsidRPr="004567E9" w:rsidRDefault="004567E9" w:rsidP="004567E9">
      <w:pPr>
        <w:rPr>
          <w:b/>
          <w:bCs/>
        </w:rPr>
      </w:pPr>
      <w:r>
        <w:t xml:space="preserve">• </w:t>
      </w:r>
      <w:proofErr w:type="spellStart"/>
      <w:r w:rsidRPr="004567E9">
        <w:rPr>
          <w:b/>
          <w:bCs/>
        </w:rPr>
        <w:t>Trombintid</w:t>
      </w:r>
      <w:proofErr w:type="spellEnd"/>
      <w:r w:rsidRPr="004567E9">
        <w:rPr>
          <w:b/>
          <w:bCs/>
        </w:rPr>
        <w:t xml:space="preserve"> (TT)</w:t>
      </w:r>
    </w:p>
    <w:p w14:paraId="591AD1A2" w14:textId="069D244C" w:rsidR="004567E9" w:rsidRDefault="004567E9" w:rsidP="004567E9">
      <w:r>
        <w:t xml:space="preserve">Den </w:t>
      </w:r>
      <w:proofErr w:type="spellStart"/>
      <w:r>
        <w:t>faktiske</w:t>
      </w:r>
      <w:proofErr w:type="spellEnd"/>
      <w:r>
        <w:t xml:space="preserve"> </w:t>
      </w:r>
      <w:proofErr w:type="spellStart"/>
      <w:r>
        <w:t>måling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trombintid</w:t>
      </w:r>
      <w:proofErr w:type="spellEnd"/>
      <w:r>
        <w:t xml:space="preserve"> (TT) </w:t>
      </w:r>
      <w:proofErr w:type="spellStart"/>
      <w:r>
        <w:t>afhænger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koagulometeret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den </w:t>
      </w:r>
      <w:proofErr w:type="spellStart"/>
      <w:r>
        <w:t>batch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thrombin</w:t>
      </w:r>
      <w:proofErr w:type="spellEnd"/>
      <w:r>
        <w:t xml:space="preserve">, der </w:t>
      </w:r>
      <w:proofErr w:type="spellStart"/>
      <w:r>
        <w:t>anvendes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målingen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anbefales</w:t>
      </w:r>
      <w:proofErr w:type="spellEnd"/>
      <w:r>
        <w:t xml:space="preserve"> </w:t>
      </w:r>
      <w:proofErr w:type="spellStart"/>
      <w:r>
        <w:t>derfor</w:t>
      </w:r>
      <w:proofErr w:type="spellEnd"/>
      <w:r>
        <w:t xml:space="preserve"> at </w:t>
      </w:r>
      <w:proofErr w:type="spellStart"/>
      <w:r>
        <w:t>anvende</w:t>
      </w:r>
      <w:proofErr w:type="spellEnd"/>
      <w:r>
        <w:t xml:space="preserve"> den </w:t>
      </w:r>
      <w:proofErr w:type="spellStart"/>
      <w:r>
        <w:t>kalibrerede</w:t>
      </w:r>
      <w:proofErr w:type="spellEnd"/>
      <w:r>
        <w:t xml:space="preserve"> </w:t>
      </w:r>
      <w:proofErr w:type="spellStart"/>
      <w:proofErr w:type="gramStart"/>
      <w:r>
        <w:t>hæmoclotrombinhæmmer</w:t>
      </w:r>
      <w:proofErr w:type="spellEnd"/>
      <w:r>
        <w:t xml:space="preserve">  </w:t>
      </w:r>
      <w:proofErr w:type="spellStart"/>
      <w:r>
        <w:t>test</w:t>
      </w:r>
      <w:proofErr w:type="spellEnd"/>
      <w:proofErr w:type="gramEnd"/>
      <w:r>
        <w:t xml:space="preserve"> </w:t>
      </w:r>
      <w:r w:rsidRPr="004567E9">
        <w:rPr>
          <w:vertAlign w:val="superscript"/>
        </w:rPr>
        <w:t>5</w:t>
      </w:r>
      <w:r>
        <w:t xml:space="preserve"> (</w:t>
      </w:r>
      <w:proofErr w:type="spellStart"/>
      <w:r>
        <w:t>dTT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) med </w:t>
      </w:r>
      <w:proofErr w:type="spellStart"/>
      <w:r>
        <w:t>dabigatranreferenceværdier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bestemmelse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plasmakoncentrationen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måling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trombintiden</w:t>
      </w:r>
      <w:proofErr w:type="spellEnd"/>
      <w:r>
        <w:t xml:space="preserve"> (TT).</w:t>
      </w:r>
    </w:p>
    <w:p w14:paraId="74E9084B" w14:textId="022BCF47" w:rsidR="004567E9" w:rsidRPr="004567E9" w:rsidRDefault="004567E9" w:rsidP="004567E9">
      <w:pPr>
        <w:rPr>
          <w:b/>
          <w:bCs/>
        </w:rPr>
      </w:pPr>
      <w:r>
        <w:t xml:space="preserve">• </w:t>
      </w:r>
      <w:proofErr w:type="spellStart"/>
      <w:r w:rsidRPr="004567E9">
        <w:rPr>
          <w:b/>
          <w:bCs/>
        </w:rPr>
        <w:t>Ecarin</w:t>
      </w:r>
      <w:proofErr w:type="spellEnd"/>
      <w:r w:rsidRPr="004567E9">
        <w:rPr>
          <w:b/>
          <w:bCs/>
        </w:rPr>
        <w:t xml:space="preserve"> </w:t>
      </w:r>
      <w:proofErr w:type="spellStart"/>
      <w:r w:rsidRPr="004567E9">
        <w:rPr>
          <w:b/>
          <w:bCs/>
        </w:rPr>
        <w:t>koagulationstid</w:t>
      </w:r>
      <w:proofErr w:type="spellEnd"/>
      <w:r w:rsidRPr="004567E9">
        <w:rPr>
          <w:b/>
          <w:bCs/>
        </w:rPr>
        <w:t xml:space="preserve"> (ECT)</w:t>
      </w:r>
    </w:p>
    <w:p w14:paraId="2AF01A49" w14:textId="77777777" w:rsidR="004567E9" w:rsidRDefault="004567E9" w:rsidP="00EB5FB3">
      <w:pPr>
        <w:spacing w:after="0"/>
      </w:pPr>
      <w:proofErr w:type="spellStart"/>
      <w:r>
        <w:t>Ecarin</w:t>
      </w:r>
      <w:proofErr w:type="spellEnd"/>
      <w:r>
        <w:t xml:space="preserve"> </w:t>
      </w:r>
      <w:proofErr w:type="spellStart"/>
      <w:r>
        <w:t>koagulationstid</w:t>
      </w:r>
      <w:proofErr w:type="spellEnd"/>
      <w:r>
        <w:t xml:space="preserve"> (ECT) </w:t>
      </w:r>
      <w:proofErr w:type="spellStart"/>
      <w:r>
        <w:t>tillader</w:t>
      </w:r>
      <w:proofErr w:type="spellEnd"/>
      <w:r>
        <w:t xml:space="preserve"> direkte </w:t>
      </w:r>
      <w:proofErr w:type="spellStart"/>
      <w:r>
        <w:t>måling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effekten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direkte </w:t>
      </w:r>
      <w:proofErr w:type="spellStart"/>
      <w:r>
        <w:t>trombinhæmmere</w:t>
      </w:r>
      <w:proofErr w:type="spellEnd"/>
      <w:r>
        <w:t>.</w:t>
      </w:r>
    </w:p>
    <w:p w14:paraId="19C9608E" w14:textId="01B88899" w:rsidR="00690BCB" w:rsidRDefault="00EF68F0" w:rsidP="00EB5FB3">
      <w:pPr>
        <w:spacing w:after="0"/>
      </w:pPr>
      <w:proofErr w:type="spellStart"/>
      <w:r>
        <w:t>Dette</w:t>
      </w:r>
      <w:proofErr w:type="spellEnd"/>
      <w:r>
        <w:t xml:space="preserve"> er </w:t>
      </w:r>
      <w:proofErr w:type="spellStart"/>
      <w:r>
        <w:t>imidlertid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undersøgt</w:t>
      </w:r>
      <w:proofErr w:type="spellEnd"/>
      <w:r>
        <w:t xml:space="preserve"> </w:t>
      </w:r>
      <w:proofErr w:type="spellStart"/>
      <w:r>
        <w:t>hos</w:t>
      </w:r>
      <w:proofErr w:type="spellEnd"/>
      <w:r>
        <w:t xml:space="preserve"> </w:t>
      </w:r>
      <w:proofErr w:type="spellStart"/>
      <w:r>
        <w:t>patientpopulationen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en </w:t>
      </w:r>
      <w:proofErr w:type="spellStart"/>
      <w:r>
        <w:t>standarddosis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220 mg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gang </w:t>
      </w:r>
      <w:proofErr w:type="spellStart"/>
      <w:r>
        <w:t>dagligt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primær</w:t>
      </w:r>
      <w:proofErr w:type="spellEnd"/>
      <w:r>
        <w:t xml:space="preserve"> VTE-</w:t>
      </w:r>
      <w:proofErr w:type="spellStart"/>
      <w:r>
        <w:t>forebyggelse</w:t>
      </w:r>
      <w:proofErr w:type="spellEnd"/>
      <w:r>
        <w:t>.</w:t>
      </w:r>
    </w:p>
    <w:p w14:paraId="3653DC59" w14:textId="77777777" w:rsidR="00690BCB" w:rsidRDefault="00690BCB" w:rsidP="004567E9"/>
    <w:p w14:paraId="582D31DE" w14:textId="68B3F3B8" w:rsidR="004567E9" w:rsidRDefault="004567E9" w:rsidP="004567E9">
      <w:r>
        <w:t xml:space="preserve">• </w:t>
      </w:r>
      <w:proofErr w:type="spellStart"/>
      <w:r w:rsidRPr="004567E9">
        <w:rPr>
          <w:b/>
          <w:bCs/>
        </w:rPr>
        <w:t>Trombintid</w:t>
      </w:r>
      <w:proofErr w:type="spellEnd"/>
      <w:r w:rsidRPr="004567E9">
        <w:rPr>
          <w:b/>
          <w:bCs/>
        </w:rPr>
        <w:t xml:space="preserve"> i </w:t>
      </w:r>
      <w:proofErr w:type="spellStart"/>
      <w:r w:rsidRPr="004567E9">
        <w:rPr>
          <w:b/>
          <w:bCs/>
        </w:rPr>
        <w:t>fortyndede</w:t>
      </w:r>
      <w:proofErr w:type="spellEnd"/>
      <w:r w:rsidRPr="004567E9">
        <w:rPr>
          <w:b/>
          <w:bCs/>
        </w:rPr>
        <w:t xml:space="preserve"> </w:t>
      </w:r>
      <w:proofErr w:type="spellStart"/>
      <w:r w:rsidRPr="004567E9">
        <w:rPr>
          <w:b/>
          <w:bCs/>
        </w:rPr>
        <w:t>plasmaprøver</w:t>
      </w:r>
      <w:proofErr w:type="spellEnd"/>
      <w:r w:rsidRPr="004567E9">
        <w:rPr>
          <w:b/>
          <w:bCs/>
        </w:rPr>
        <w:t xml:space="preserve"> (</w:t>
      </w:r>
      <w:proofErr w:type="spellStart"/>
      <w:r w:rsidRPr="004567E9">
        <w:rPr>
          <w:b/>
          <w:bCs/>
        </w:rPr>
        <w:t>dTT</w:t>
      </w:r>
      <w:proofErr w:type="spellEnd"/>
      <w:r w:rsidRPr="004567E9">
        <w:rPr>
          <w:b/>
          <w:bCs/>
        </w:rPr>
        <w:t>)</w:t>
      </w:r>
    </w:p>
    <w:p w14:paraId="7726FB8D" w14:textId="485C5E5A" w:rsidR="004567E9" w:rsidRDefault="004567E9" w:rsidP="004567E9">
      <w:proofErr w:type="spellStart"/>
      <w:r>
        <w:lastRenderedPageBreak/>
        <w:t>Bestemmelse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trombintiden</w:t>
      </w:r>
      <w:proofErr w:type="spellEnd"/>
      <w:r>
        <w:t xml:space="preserve"> i </w:t>
      </w:r>
      <w:proofErr w:type="spellStart"/>
      <w:r>
        <w:t>fortyndede</w:t>
      </w:r>
      <w:proofErr w:type="spellEnd"/>
      <w:r>
        <w:t xml:space="preserve"> </w:t>
      </w:r>
      <w:proofErr w:type="spellStart"/>
      <w:r>
        <w:t>plasmaprøver</w:t>
      </w:r>
      <w:proofErr w:type="spellEnd"/>
      <w:r>
        <w:t xml:space="preserve"> (</w:t>
      </w:r>
      <w:proofErr w:type="spellStart"/>
      <w:r>
        <w:t>dTT</w:t>
      </w:r>
      <w:proofErr w:type="spellEnd"/>
      <w:r>
        <w:t xml:space="preserve">) </w:t>
      </w:r>
      <w:proofErr w:type="spellStart"/>
      <w:r>
        <w:t>ved</w:t>
      </w:r>
      <w:proofErr w:type="spellEnd"/>
      <w:r>
        <w:t xml:space="preserve"> </w:t>
      </w:r>
      <w:proofErr w:type="spellStart"/>
      <w:r>
        <w:t>anvendelse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kalibrerede</w:t>
      </w:r>
      <w:proofErr w:type="spellEnd"/>
      <w:r>
        <w:t xml:space="preserve"> hæmoclotrombinhæmmertest</w:t>
      </w:r>
      <w:r w:rsidRPr="006D3808">
        <w:rPr>
          <w:vertAlign w:val="superscript"/>
        </w:rPr>
        <w:t>5</w:t>
      </w:r>
      <w:r w:rsidR="00690BCB">
        <w:t xml:space="preserve"> (</w:t>
      </w:r>
      <w:proofErr w:type="spellStart"/>
      <w:r w:rsidR="00690BCB">
        <w:t>distribueret</w:t>
      </w:r>
      <w:proofErr w:type="spellEnd"/>
      <w:r w:rsidR="00690BCB">
        <w:t xml:space="preserve"> i </w:t>
      </w:r>
      <w:proofErr w:type="spellStart"/>
      <w:r w:rsidR="00690BCB">
        <w:t>Tyskland</w:t>
      </w:r>
      <w:proofErr w:type="spellEnd"/>
      <w:r w:rsidR="00690BCB">
        <w:t xml:space="preserve"> via </w:t>
      </w:r>
      <w:proofErr w:type="spellStart"/>
      <w:r w:rsidR="00690BCB">
        <w:t>CoaChrom</w:t>
      </w:r>
      <w:proofErr w:type="spellEnd"/>
      <w:r w:rsidR="00690BCB">
        <w:t xml:space="preserve"> Diagnostica GmbH), </w:t>
      </w:r>
      <w:proofErr w:type="spellStart"/>
      <w:r w:rsidR="00690BCB">
        <w:t>som</w:t>
      </w:r>
      <w:proofErr w:type="spellEnd"/>
      <w:r w:rsidR="00690BCB">
        <w:t xml:space="preserve"> </w:t>
      </w:r>
      <w:proofErr w:type="spellStart"/>
      <w:r w:rsidR="00690BCB">
        <w:t>resulterer</w:t>
      </w:r>
      <w:proofErr w:type="spellEnd"/>
      <w:r w:rsidR="00690BCB">
        <w:t xml:space="preserve"> i en </w:t>
      </w:r>
      <w:proofErr w:type="spellStart"/>
      <w:r w:rsidR="00690BCB">
        <w:t>plasmakoncentration</w:t>
      </w:r>
      <w:proofErr w:type="spellEnd"/>
      <w:r w:rsidR="00690BCB">
        <w:t xml:space="preserve"> </w:t>
      </w:r>
      <w:proofErr w:type="spellStart"/>
      <w:r w:rsidR="00690BCB">
        <w:t>af</w:t>
      </w:r>
      <w:proofErr w:type="spellEnd"/>
      <w:r w:rsidR="00690BCB">
        <w:t xml:space="preserve"> </w:t>
      </w:r>
      <w:proofErr w:type="spellStart"/>
      <w:r w:rsidR="00690BCB">
        <w:t>dabigatran</w:t>
      </w:r>
      <w:proofErr w:type="spellEnd"/>
      <w:r w:rsidR="00690BCB">
        <w:t xml:space="preserve"> </w:t>
      </w:r>
      <w:proofErr w:type="spellStart"/>
      <w:r w:rsidR="00690BCB">
        <w:t>på</w:t>
      </w:r>
      <w:proofErr w:type="spellEnd"/>
      <w:r w:rsidR="00690BCB">
        <w:t xml:space="preserve"> &gt; 67 </w:t>
      </w:r>
      <w:proofErr w:type="spellStart"/>
      <w:r w:rsidR="00690BCB">
        <w:t>ng</w:t>
      </w:r>
      <w:proofErr w:type="spellEnd"/>
      <w:r w:rsidR="00690BCB">
        <w:t xml:space="preserve">/ml (ca. &gt; 40 </w:t>
      </w:r>
      <w:proofErr w:type="spellStart"/>
      <w:r w:rsidR="00690BCB">
        <w:t>sekunder</w:t>
      </w:r>
      <w:proofErr w:type="spellEnd"/>
      <w:r w:rsidR="00690BCB">
        <w:t xml:space="preserve">) </w:t>
      </w:r>
      <w:proofErr w:type="spellStart"/>
      <w:r w:rsidR="00690BCB">
        <w:t>før</w:t>
      </w:r>
      <w:proofErr w:type="spellEnd"/>
      <w:r w:rsidR="00690BCB">
        <w:t xml:space="preserve"> </w:t>
      </w:r>
      <w:proofErr w:type="spellStart"/>
      <w:r w:rsidR="00690BCB">
        <w:t>indtagelse</w:t>
      </w:r>
      <w:proofErr w:type="spellEnd"/>
      <w:r w:rsidR="00690BCB">
        <w:t xml:space="preserve"> </w:t>
      </w:r>
      <w:proofErr w:type="spellStart"/>
      <w:r w:rsidR="00690BCB">
        <w:t>af</w:t>
      </w:r>
      <w:proofErr w:type="spellEnd"/>
      <w:r w:rsidR="00690BCB">
        <w:t xml:space="preserve"> den </w:t>
      </w:r>
      <w:proofErr w:type="spellStart"/>
      <w:r w:rsidR="00690BCB">
        <w:t>næste</w:t>
      </w:r>
      <w:proofErr w:type="spellEnd"/>
      <w:r w:rsidR="00690BCB">
        <w:t xml:space="preserve"> </w:t>
      </w:r>
      <w:proofErr w:type="spellStart"/>
      <w:r w:rsidR="00690BCB">
        <w:t>daglige</w:t>
      </w:r>
      <w:proofErr w:type="spellEnd"/>
      <w:r w:rsidR="00690BCB">
        <w:t xml:space="preserve"> </w:t>
      </w:r>
      <w:proofErr w:type="spellStart"/>
      <w:r w:rsidR="00690BCB">
        <w:t>dosis</w:t>
      </w:r>
      <w:proofErr w:type="spellEnd"/>
      <w:r w:rsidR="00690BCB">
        <w:t xml:space="preserve">, </w:t>
      </w:r>
      <w:proofErr w:type="spellStart"/>
      <w:r w:rsidR="00690BCB">
        <w:t>indikerer</w:t>
      </w:r>
      <w:proofErr w:type="spellEnd"/>
      <w:r w:rsidR="00690BCB">
        <w:t xml:space="preserve"> en </w:t>
      </w:r>
      <w:proofErr w:type="spellStart"/>
      <w:r w:rsidR="00690BCB">
        <w:t>øget</w:t>
      </w:r>
      <w:proofErr w:type="spellEnd"/>
      <w:r w:rsidR="00690BCB">
        <w:t xml:space="preserve"> </w:t>
      </w:r>
      <w:proofErr w:type="spellStart"/>
      <w:r w:rsidR="00690BCB">
        <w:t>risiko</w:t>
      </w:r>
      <w:proofErr w:type="spellEnd"/>
      <w:r w:rsidR="00690BCB">
        <w:t xml:space="preserve"> </w:t>
      </w:r>
      <w:proofErr w:type="spellStart"/>
      <w:r w:rsidR="00690BCB">
        <w:t>for</w:t>
      </w:r>
      <w:proofErr w:type="spellEnd"/>
      <w:r w:rsidR="00690BCB">
        <w:t xml:space="preserve"> blødning</w:t>
      </w:r>
      <w:r w:rsidRPr="00DA3026">
        <w:rPr>
          <w:vertAlign w:val="superscript"/>
        </w:rPr>
        <w:t>1</w:t>
      </w:r>
      <w:r>
        <w:t>.</w:t>
      </w:r>
    </w:p>
    <w:p w14:paraId="1E1D1C56" w14:textId="5DD4BE98" w:rsidR="004567E9" w:rsidRDefault="004567E9" w:rsidP="00657EB2"/>
    <w:p w14:paraId="04EBAD70" w14:textId="77777777" w:rsidR="004567E9" w:rsidRDefault="004567E9" w:rsidP="004567E9">
      <w:proofErr w:type="spellStart"/>
      <w:r w:rsidRPr="004567E9">
        <w:rPr>
          <w:b/>
          <w:bCs/>
        </w:rPr>
        <w:t>Tabel</w:t>
      </w:r>
      <w:proofErr w:type="spellEnd"/>
      <w:r w:rsidRPr="004567E9">
        <w:rPr>
          <w:b/>
          <w:bCs/>
        </w:rPr>
        <w:t xml:space="preserve"> 3: </w:t>
      </w:r>
      <w:proofErr w:type="spellStart"/>
      <w:r>
        <w:t>Koagulationstestgrænser</w:t>
      </w:r>
      <w:proofErr w:type="spellEnd"/>
      <w:r>
        <w:t xml:space="preserve">, der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forbundet</w:t>
      </w:r>
      <w:proofErr w:type="spellEnd"/>
      <w:r>
        <w:t xml:space="preserve"> med en </w:t>
      </w:r>
      <w:proofErr w:type="spellStart"/>
      <w:r>
        <w:t>øget</w:t>
      </w:r>
      <w:proofErr w:type="spellEnd"/>
      <w:r>
        <w:t xml:space="preserve"> </w:t>
      </w:r>
      <w:proofErr w:type="spellStart"/>
      <w:r>
        <w:t>blødningsrisiko</w:t>
      </w:r>
      <w:proofErr w:type="spellEnd"/>
      <w:r>
        <w:t xml:space="preserve"> </w:t>
      </w:r>
      <w:proofErr w:type="spellStart"/>
      <w:r>
        <w:t>målt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dalniveau</w:t>
      </w:r>
      <w:proofErr w:type="spellEnd"/>
      <w:r>
        <w:t xml:space="preserve"> (</w:t>
      </w:r>
      <w:proofErr w:type="spellStart"/>
      <w:r>
        <w:t>f.eks</w:t>
      </w:r>
      <w:proofErr w:type="spellEnd"/>
      <w:r>
        <w:t xml:space="preserve">. </w:t>
      </w:r>
      <w:proofErr w:type="spellStart"/>
      <w:r>
        <w:t>før</w:t>
      </w:r>
      <w:proofErr w:type="spellEnd"/>
      <w:r>
        <w:t xml:space="preserve"> du </w:t>
      </w:r>
      <w:proofErr w:type="spellStart"/>
      <w:r>
        <w:t>tager</w:t>
      </w:r>
      <w:proofErr w:type="spellEnd"/>
      <w:r>
        <w:t xml:space="preserve"> den </w:t>
      </w:r>
      <w:proofErr w:type="spellStart"/>
      <w:r>
        <w:t>næste</w:t>
      </w:r>
      <w:proofErr w:type="spellEnd"/>
      <w:r>
        <w:t xml:space="preserve"> </w:t>
      </w:r>
      <w:proofErr w:type="spellStart"/>
      <w:r>
        <w:t>dosis</w:t>
      </w:r>
      <w:proofErr w:type="spellEnd"/>
      <w:r>
        <w:t>).</w:t>
      </w:r>
    </w:p>
    <w:p w14:paraId="0D250B1B" w14:textId="2D7DDFCB" w:rsidR="004567E9" w:rsidRDefault="004567E9" w:rsidP="004567E9">
      <w:proofErr w:type="spellStart"/>
      <w:r w:rsidRPr="004567E9">
        <w:rPr>
          <w:b/>
          <w:bCs/>
        </w:rPr>
        <w:t>Bemærk</w:t>
      </w:r>
      <w:proofErr w:type="spellEnd"/>
      <w:r w:rsidRPr="004567E9">
        <w:rPr>
          <w:b/>
          <w:bCs/>
        </w:rPr>
        <w:t>:</w:t>
      </w:r>
      <w:r>
        <w:t xml:space="preserve"> I de </w:t>
      </w:r>
      <w:proofErr w:type="spellStart"/>
      <w:r>
        <w:t>første</w:t>
      </w:r>
      <w:proofErr w:type="spellEnd"/>
      <w:r>
        <w:t xml:space="preserve"> 2-3 </w:t>
      </w:r>
      <w:proofErr w:type="spellStart"/>
      <w:r>
        <w:t>dage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operationen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der </w:t>
      </w:r>
      <w:proofErr w:type="spellStart"/>
      <w:r>
        <w:t>forekomme</w:t>
      </w:r>
      <w:proofErr w:type="spellEnd"/>
      <w:r>
        <w:t xml:space="preserve"> </w:t>
      </w:r>
      <w:proofErr w:type="spellStart"/>
      <w:r>
        <w:t>f</w:t>
      </w:r>
      <w:r w:rsidR="00576C14">
        <w:t>alsk</w:t>
      </w:r>
      <w:proofErr w:type="spellEnd"/>
      <w:r w:rsidR="00576C14">
        <w:t xml:space="preserve"> </w:t>
      </w:r>
      <w:proofErr w:type="spellStart"/>
      <w:r w:rsidR="00576C14">
        <w:t>forlængede</w:t>
      </w:r>
      <w:proofErr w:type="spellEnd"/>
      <w:r w:rsidR="00576C14">
        <w:t xml:space="preserve"> </w:t>
      </w:r>
      <w:proofErr w:type="spellStart"/>
      <w:r w:rsidR="00576C14">
        <w:t>værdier</w:t>
      </w:r>
      <w:proofErr w:type="spellEnd"/>
      <w:r w:rsidR="00576C14"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aPTT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ECT.</w:t>
      </w:r>
      <w:r w:rsidRPr="004567E9">
        <w:rPr>
          <w:vertAlign w:val="superscript"/>
        </w:rPr>
        <w:t>2,3 mm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67E9" w14:paraId="0DD67FB0" w14:textId="77777777" w:rsidTr="004567E9">
        <w:tc>
          <w:tcPr>
            <w:tcW w:w="4531" w:type="dxa"/>
          </w:tcPr>
          <w:p w14:paraId="3AD5DE2C" w14:textId="6141FD77" w:rsidR="004567E9" w:rsidRDefault="00325491" w:rsidP="004567E9">
            <w:r w:rsidRPr="00325491">
              <w:t>Test (</w:t>
            </w:r>
            <w:proofErr w:type="spellStart"/>
            <w:r w:rsidRPr="00325491">
              <w:t>måling</w:t>
            </w:r>
            <w:proofErr w:type="spellEnd"/>
            <w:r w:rsidRPr="00325491">
              <w:t xml:space="preserve"> </w:t>
            </w:r>
            <w:proofErr w:type="spellStart"/>
            <w:r w:rsidRPr="00325491">
              <w:t>af</w:t>
            </w:r>
            <w:proofErr w:type="spellEnd"/>
            <w:r w:rsidRPr="00325491">
              <w:t xml:space="preserve"> </w:t>
            </w:r>
            <w:proofErr w:type="spellStart"/>
            <w:r w:rsidRPr="00325491">
              <w:t>dalniveau</w:t>
            </w:r>
            <w:proofErr w:type="spellEnd"/>
            <w:r w:rsidRPr="00325491">
              <w:t>)</w:t>
            </w:r>
          </w:p>
        </w:tc>
        <w:tc>
          <w:tcPr>
            <w:tcW w:w="4531" w:type="dxa"/>
          </w:tcPr>
          <w:p w14:paraId="39B91E91" w14:textId="77777777" w:rsidR="004567E9" w:rsidRDefault="004567E9" w:rsidP="004567E9"/>
        </w:tc>
      </w:tr>
      <w:tr w:rsidR="004567E9" w14:paraId="39725E52" w14:textId="77777777" w:rsidTr="004567E9">
        <w:tc>
          <w:tcPr>
            <w:tcW w:w="4531" w:type="dxa"/>
          </w:tcPr>
          <w:p w14:paraId="78ED42B3" w14:textId="1DA31A26" w:rsidR="004567E9" w:rsidRDefault="00325491" w:rsidP="004567E9">
            <w:proofErr w:type="spellStart"/>
            <w:r w:rsidRPr="00325491">
              <w:t>dTT</w:t>
            </w:r>
            <w:proofErr w:type="spellEnd"/>
            <w:r w:rsidRPr="00325491">
              <w:t xml:space="preserve"> (</w:t>
            </w:r>
            <w:proofErr w:type="spellStart"/>
            <w:r w:rsidRPr="00325491">
              <w:t>ng</w:t>
            </w:r>
            <w:proofErr w:type="spellEnd"/>
            <w:r w:rsidRPr="00325491">
              <w:t>/ml)</w:t>
            </w:r>
          </w:p>
        </w:tc>
        <w:tc>
          <w:tcPr>
            <w:tcW w:w="4531" w:type="dxa"/>
          </w:tcPr>
          <w:p w14:paraId="4124BCF8" w14:textId="07A64B87" w:rsidR="004567E9" w:rsidRDefault="00325491" w:rsidP="004567E9">
            <w:r w:rsidRPr="00325491">
              <w:t>&gt; 67</w:t>
            </w:r>
          </w:p>
        </w:tc>
      </w:tr>
      <w:tr w:rsidR="004567E9" w14:paraId="5314AA46" w14:textId="77777777" w:rsidTr="004567E9">
        <w:tc>
          <w:tcPr>
            <w:tcW w:w="4531" w:type="dxa"/>
          </w:tcPr>
          <w:p w14:paraId="73993CAA" w14:textId="1CD9CD80" w:rsidR="004567E9" w:rsidRDefault="00325491" w:rsidP="004567E9">
            <w:r w:rsidRPr="00325491">
              <w:t>ECT (x</w:t>
            </w:r>
            <w:r w:rsidR="00576C14">
              <w:t>-</w:t>
            </w:r>
            <w:r w:rsidRPr="00325491">
              <w:t xml:space="preserve">gange </w:t>
            </w:r>
            <w:proofErr w:type="spellStart"/>
            <w:r w:rsidR="00576C14">
              <w:t>øvre</w:t>
            </w:r>
            <w:proofErr w:type="spellEnd"/>
            <w:r w:rsidR="00576C14">
              <w:t xml:space="preserve"> </w:t>
            </w:r>
            <w:proofErr w:type="spellStart"/>
            <w:r w:rsidR="00576C14">
              <w:t>grænse</w:t>
            </w:r>
            <w:proofErr w:type="spellEnd"/>
            <w:r w:rsidR="00576C14">
              <w:t xml:space="preserve"> </w:t>
            </w:r>
            <w:proofErr w:type="spellStart"/>
            <w:r w:rsidR="00576C14">
              <w:t>for</w:t>
            </w:r>
            <w:proofErr w:type="spellEnd"/>
            <w:r w:rsidR="00576C14">
              <w:t xml:space="preserve"> </w:t>
            </w:r>
            <w:proofErr w:type="spellStart"/>
            <w:r w:rsidR="00576C14">
              <w:t>normalværdi</w:t>
            </w:r>
            <w:proofErr w:type="spellEnd"/>
            <w:r w:rsidR="00576C14">
              <w:t>)</w:t>
            </w:r>
          </w:p>
        </w:tc>
        <w:tc>
          <w:tcPr>
            <w:tcW w:w="4531" w:type="dxa"/>
          </w:tcPr>
          <w:p w14:paraId="58B92D88" w14:textId="47627F78" w:rsidR="004567E9" w:rsidRDefault="00B1365F" w:rsidP="004567E9">
            <w:r w:rsidRPr="00B1365F">
              <w:t xml:space="preserve">Ingen </w:t>
            </w:r>
            <w:proofErr w:type="spellStart"/>
            <w:r w:rsidRPr="00B1365F">
              <w:t>data</w:t>
            </w:r>
            <w:proofErr w:type="spellEnd"/>
            <w:r w:rsidRPr="00B1365F">
              <w:t>*</w:t>
            </w:r>
          </w:p>
        </w:tc>
      </w:tr>
      <w:tr w:rsidR="004567E9" w14:paraId="76F67471" w14:textId="77777777" w:rsidTr="004567E9">
        <w:tc>
          <w:tcPr>
            <w:tcW w:w="4531" w:type="dxa"/>
          </w:tcPr>
          <w:p w14:paraId="5AD52089" w14:textId="57253089" w:rsidR="004567E9" w:rsidRDefault="00325491" w:rsidP="004567E9">
            <w:proofErr w:type="spellStart"/>
            <w:r w:rsidRPr="00325491">
              <w:t>aPTT</w:t>
            </w:r>
            <w:proofErr w:type="spellEnd"/>
            <w:r w:rsidRPr="00325491">
              <w:t xml:space="preserve"> (x</w:t>
            </w:r>
            <w:r w:rsidR="00576C14">
              <w:t>-</w:t>
            </w:r>
            <w:r w:rsidRPr="00325491">
              <w:t xml:space="preserve">gange </w:t>
            </w:r>
            <w:proofErr w:type="spellStart"/>
            <w:r w:rsidR="00576C14">
              <w:t>øvre</w:t>
            </w:r>
            <w:proofErr w:type="spellEnd"/>
            <w:r w:rsidR="00576C14">
              <w:t xml:space="preserve"> </w:t>
            </w:r>
            <w:proofErr w:type="spellStart"/>
            <w:r w:rsidR="00576C14">
              <w:t>grænse</w:t>
            </w:r>
            <w:proofErr w:type="spellEnd"/>
            <w:r w:rsidR="00576C14">
              <w:t xml:space="preserve"> </w:t>
            </w:r>
            <w:proofErr w:type="spellStart"/>
            <w:r w:rsidR="00576C14">
              <w:t>for</w:t>
            </w:r>
            <w:proofErr w:type="spellEnd"/>
            <w:r w:rsidR="00576C14">
              <w:t xml:space="preserve"> </w:t>
            </w:r>
            <w:proofErr w:type="spellStart"/>
            <w:r w:rsidR="00576C14">
              <w:t>normalværdi</w:t>
            </w:r>
            <w:proofErr w:type="spellEnd"/>
            <w:r w:rsidRPr="00325491">
              <w:t>)</w:t>
            </w:r>
          </w:p>
        </w:tc>
        <w:tc>
          <w:tcPr>
            <w:tcW w:w="4531" w:type="dxa"/>
          </w:tcPr>
          <w:p w14:paraId="3D4E1132" w14:textId="33E3DAAF" w:rsidR="004567E9" w:rsidRDefault="00325491" w:rsidP="004567E9">
            <w:r w:rsidRPr="00325491">
              <w:t>&gt; 1.3</w:t>
            </w:r>
          </w:p>
        </w:tc>
      </w:tr>
      <w:tr w:rsidR="004567E9" w14:paraId="13DB3FAF" w14:textId="77777777" w:rsidTr="004567E9">
        <w:tc>
          <w:tcPr>
            <w:tcW w:w="4531" w:type="dxa"/>
          </w:tcPr>
          <w:p w14:paraId="67DE059D" w14:textId="1462A9E9" w:rsidR="004567E9" w:rsidRDefault="00325491" w:rsidP="004567E9">
            <w:r w:rsidRPr="00325491">
              <w:t>INR</w:t>
            </w:r>
          </w:p>
        </w:tc>
        <w:tc>
          <w:tcPr>
            <w:tcW w:w="4531" w:type="dxa"/>
          </w:tcPr>
          <w:p w14:paraId="4B8A4DE6" w14:textId="1C70FB72" w:rsidR="004567E9" w:rsidRDefault="00325491" w:rsidP="004567E9">
            <w:proofErr w:type="spellStart"/>
            <w:r w:rsidRPr="00325491">
              <w:t>Bør</w:t>
            </w:r>
            <w:proofErr w:type="spellEnd"/>
            <w:r w:rsidRPr="00325491">
              <w:t xml:space="preserve"> </w:t>
            </w:r>
            <w:proofErr w:type="spellStart"/>
            <w:r w:rsidRPr="00325491">
              <w:t>ikke</w:t>
            </w:r>
            <w:proofErr w:type="spellEnd"/>
            <w:r w:rsidRPr="00325491">
              <w:t xml:space="preserve"> </w:t>
            </w:r>
            <w:proofErr w:type="spellStart"/>
            <w:r w:rsidRPr="00325491">
              <w:t>måles</w:t>
            </w:r>
            <w:proofErr w:type="spellEnd"/>
          </w:p>
        </w:tc>
      </w:tr>
    </w:tbl>
    <w:p w14:paraId="4BE431E4" w14:textId="0C5AD365" w:rsidR="004567E9" w:rsidRDefault="004567E9" w:rsidP="004567E9"/>
    <w:p w14:paraId="136C7BD2" w14:textId="2FAC3387" w:rsidR="004567E9" w:rsidRDefault="00754B62" w:rsidP="004567E9">
      <w:r w:rsidRPr="00754B62">
        <w:rPr>
          <w:b/>
          <w:bCs/>
        </w:rPr>
        <w:t>Timing:</w:t>
      </w:r>
      <w:r w:rsidRPr="00754B62">
        <w:t xml:space="preserve"> </w:t>
      </w:r>
      <w:proofErr w:type="spellStart"/>
      <w:r w:rsidRPr="00754B62">
        <w:t>Koagulationsparametrene</w:t>
      </w:r>
      <w:proofErr w:type="spellEnd"/>
      <w:r w:rsidRPr="00754B62">
        <w:t xml:space="preserve"> </w:t>
      </w:r>
      <w:proofErr w:type="spellStart"/>
      <w:r w:rsidRPr="00754B62">
        <w:t>afhænger</w:t>
      </w:r>
      <w:proofErr w:type="spellEnd"/>
      <w:r w:rsidRPr="00754B62">
        <w:t xml:space="preserve"> </w:t>
      </w:r>
      <w:proofErr w:type="spellStart"/>
      <w:r w:rsidRPr="00754B62">
        <w:t>af</w:t>
      </w:r>
      <w:proofErr w:type="spellEnd"/>
      <w:r w:rsidRPr="00754B62">
        <w:t xml:space="preserve"> </w:t>
      </w:r>
      <w:proofErr w:type="spellStart"/>
      <w:r w:rsidRPr="00754B62">
        <w:t>tidspunktet</w:t>
      </w:r>
      <w:proofErr w:type="spellEnd"/>
      <w:r w:rsidRPr="00754B62">
        <w:t xml:space="preserve"> </w:t>
      </w:r>
      <w:proofErr w:type="spellStart"/>
      <w:r w:rsidRPr="00754B62">
        <w:t>for</w:t>
      </w:r>
      <w:proofErr w:type="spellEnd"/>
      <w:r w:rsidRPr="00754B62">
        <w:t xml:space="preserve"> at tage </w:t>
      </w:r>
      <w:proofErr w:type="spellStart"/>
      <w:r w:rsidRPr="00754B62">
        <w:t>blodprøven</w:t>
      </w:r>
      <w:proofErr w:type="spellEnd"/>
      <w:r w:rsidRPr="00754B62">
        <w:t xml:space="preserve"> </w:t>
      </w:r>
      <w:proofErr w:type="spellStart"/>
      <w:r w:rsidRPr="00754B62">
        <w:t>og</w:t>
      </w:r>
      <w:proofErr w:type="spellEnd"/>
      <w:r w:rsidRPr="00754B62">
        <w:t xml:space="preserve"> </w:t>
      </w:r>
      <w:proofErr w:type="spellStart"/>
      <w:r w:rsidRPr="00754B62">
        <w:t>tidspunktet</w:t>
      </w:r>
      <w:proofErr w:type="spellEnd"/>
      <w:r w:rsidRPr="00754B62">
        <w:t xml:space="preserve"> </w:t>
      </w:r>
      <w:proofErr w:type="spellStart"/>
      <w:r w:rsidRPr="00754B62">
        <w:t>for</w:t>
      </w:r>
      <w:proofErr w:type="spellEnd"/>
      <w:r w:rsidRPr="00754B62">
        <w:t xml:space="preserve"> at tage den </w:t>
      </w:r>
      <w:proofErr w:type="spellStart"/>
      <w:r w:rsidRPr="00754B62">
        <w:t>sidste</w:t>
      </w:r>
      <w:proofErr w:type="spellEnd"/>
      <w:r w:rsidRPr="00754B62">
        <w:t xml:space="preserve"> </w:t>
      </w:r>
      <w:proofErr w:type="spellStart"/>
      <w:r w:rsidRPr="00754B62">
        <w:t>dosis</w:t>
      </w:r>
      <w:proofErr w:type="spellEnd"/>
      <w:r w:rsidRPr="00754B62">
        <w:t xml:space="preserve">. En </w:t>
      </w:r>
      <w:proofErr w:type="spellStart"/>
      <w:r w:rsidRPr="00754B62">
        <w:t>blodprøve</w:t>
      </w:r>
      <w:proofErr w:type="spellEnd"/>
      <w:r w:rsidRPr="00754B62">
        <w:t xml:space="preserve"> taget 2 </w:t>
      </w:r>
      <w:proofErr w:type="spellStart"/>
      <w:r w:rsidRPr="00754B62">
        <w:t>timer</w:t>
      </w:r>
      <w:proofErr w:type="spellEnd"/>
      <w:r w:rsidRPr="00754B62">
        <w:t xml:space="preserve"> </w:t>
      </w:r>
      <w:proofErr w:type="spellStart"/>
      <w:r w:rsidRPr="00754B62">
        <w:t>efter</w:t>
      </w:r>
      <w:proofErr w:type="spellEnd"/>
      <w:r w:rsidRPr="00754B62">
        <w:t xml:space="preserve"> </w:t>
      </w:r>
      <w:proofErr w:type="spellStart"/>
      <w:r w:rsidRPr="00754B62">
        <w:t>indtagelse</w:t>
      </w:r>
      <w:proofErr w:type="spellEnd"/>
      <w:r w:rsidRPr="00754B62">
        <w:t xml:space="preserve"> </w:t>
      </w:r>
      <w:proofErr w:type="spellStart"/>
      <w:r w:rsidRPr="00754B62">
        <w:t>af</w:t>
      </w:r>
      <w:proofErr w:type="spellEnd"/>
      <w:r w:rsidRPr="00754B62">
        <w:t xml:space="preserve"> </w:t>
      </w:r>
      <w:proofErr w:type="spellStart"/>
      <w:r w:rsidRPr="00754B62">
        <w:t>dabigatranetexilat</w:t>
      </w:r>
      <w:proofErr w:type="spellEnd"/>
      <w:r w:rsidRPr="00754B62">
        <w:t xml:space="preserve"> (</w:t>
      </w:r>
      <w:proofErr w:type="spellStart"/>
      <w:r w:rsidRPr="00754B62">
        <w:t>maksimalt</w:t>
      </w:r>
      <w:proofErr w:type="spellEnd"/>
      <w:r w:rsidRPr="00754B62">
        <w:t xml:space="preserve"> </w:t>
      </w:r>
      <w:proofErr w:type="spellStart"/>
      <w:r w:rsidRPr="00754B62">
        <w:t>lægemiddelniveau</w:t>
      </w:r>
      <w:proofErr w:type="spellEnd"/>
      <w:r w:rsidRPr="00754B62">
        <w:t xml:space="preserve">) </w:t>
      </w:r>
      <w:proofErr w:type="spellStart"/>
      <w:r w:rsidRPr="00754B62">
        <w:t>vil</w:t>
      </w:r>
      <w:proofErr w:type="spellEnd"/>
      <w:r w:rsidRPr="00754B62">
        <w:t xml:space="preserve"> </w:t>
      </w:r>
      <w:proofErr w:type="spellStart"/>
      <w:r w:rsidRPr="00754B62">
        <w:t>give</w:t>
      </w:r>
      <w:proofErr w:type="spellEnd"/>
      <w:r w:rsidRPr="00754B62">
        <w:t xml:space="preserve"> </w:t>
      </w:r>
      <w:proofErr w:type="spellStart"/>
      <w:r w:rsidRPr="00754B62">
        <w:t>forskellige</w:t>
      </w:r>
      <w:proofErr w:type="spellEnd"/>
      <w:r w:rsidRPr="00754B62">
        <w:t xml:space="preserve"> (</w:t>
      </w:r>
      <w:proofErr w:type="spellStart"/>
      <w:r w:rsidRPr="00754B62">
        <w:t>højere</w:t>
      </w:r>
      <w:proofErr w:type="spellEnd"/>
      <w:r w:rsidRPr="00754B62">
        <w:t xml:space="preserve">) </w:t>
      </w:r>
      <w:proofErr w:type="spellStart"/>
      <w:r w:rsidRPr="00754B62">
        <w:t>resultater</w:t>
      </w:r>
      <w:proofErr w:type="spellEnd"/>
      <w:r w:rsidRPr="00754B62">
        <w:t xml:space="preserve"> </w:t>
      </w:r>
      <w:proofErr w:type="spellStart"/>
      <w:r w:rsidRPr="00754B62">
        <w:t>ved</w:t>
      </w:r>
      <w:proofErr w:type="spellEnd"/>
      <w:r w:rsidRPr="00754B62">
        <w:t xml:space="preserve"> alle </w:t>
      </w:r>
      <w:proofErr w:type="spellStart"/>
      <w:r w:rsidRPr="00754B62">
        <w:t>koagulationsniveauer</w:t>
      </w:r>
      <w:proofErr w:type="spellEnd"/>
      <w:r w:rsidRPr="00754B62">
        <w:t xml:space="preserve"> end en </w:t>
      </w:r>
      <w:proofErr w:type="spellStart"/>
      <w:r w:rsidRPr="00754B62">
        <w:t>blodprøve</w:t>
      </w:r>
      <w:proofErr w:type="spellEnd"/>
      <w:r w:rsidRPr="00754B62">
        <w:t xml:space="preserve"> taget 20-28 </w:t>
      </w:r>
      <w:proofErr w:type="spellStart"/>
      <w:r w:rsidRPr="00754B62">
        <w:t>timer</w:t>
      </w:r>
      <w:proofErr w:type="spellEnd"/>
      <w:r w:rsidRPr="00754B62">
        <w:t xml:space="preserve"> </w:t>
      </w:r>
      <w:proofErr w:type="spellStart"/>
      <w:r w:rsidRPr="00754B62">
        <w:t>efter</w:t>
      </w:r>
      <w:proofErr w:type="spellEnd"/>
      <w:r w:rsidRPr="00754B62">
        <w:t xml:space="preserve"> at </w:t>
      </w:r>
      <w:proofErr w:type="spellStart"/>
      <w:r w:rsidRPr="00754B62">
        <w:t>have</w:t>
      </w:r>
      <w:proofErr w:type="spellEnd"/>
      <w:r w:rsidRPr="00754B62">
        <w:t xml:space="preserve"> taget den </w:t>
      </w:r>
      <w:proofErr w:type="spellStart"/>
      <w:r w:rsidRPr="00754B62">
        <w:t>samme</w:t>
      </w:r>
      <w:proofErr w:type="spellEnd"/>
      <w:r w:rsidRPr="00754B62">
        <w:t xml:space="preserve"> </w:t>
      </w:r>
      <w:proofErr w:type="spellStart"/>
      <w:r w:rsidRPr="00754B62">
        <w:t>dosis</w:t>
      </w:r>
      <w:proofErr w:type="spellEnd"/>
      <w:r w:rsidRPr="00754B62">
        <w:t xml:space="preserve"> (</w:t>
      </w:r>
      <w:proofErr w:type="spellStart"/>
      <w:r w:rsidRPr="00754B62">
        <w:t>minimum</w:t>
      </w:r>
      <w:proofErr w:type="spellEnd"/>
      <w:r w:rsidRPr="00754B62">
        <w:t xml:space="preserve"> </w:t>
      </w:r>
      <w:proofErr w:type="spellStart"/>
      <w:r w:rsidRPr="00754B62">
        <w:t>lægemiddelniveau</w:t>
      </w:r>
      <w:proofErr w:type="spellEnd"/>
      <w:r w:rsidRPr="00754B62">
        <w:t>).</w:t>
      </w:r>
    </w:p>
    <w:p w14:paraId="278D209B" w14:textId="55B89DEF" w:rsidR="004567E9" w:rsidRDefault="004567E9" w:rsidP="004567E9"/>
    <w:p w14:paraId="268FB563" w14:textId="65CC5335" w:rsidR="00B1365F" w:rsidRDefault="00E43238" w:rsidP="00B1365F">
      <w:r>
        <w:t xml:space="preserve">*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undersøgt</w:t>
      </w:r>
      <w:proofErr w:type="spellEnd"/>
      <w:r>
        <w:t xml:space="preserve"> </w:t>
      </w:r>
      <w:proofErr w:type="spellStart"/>
      <w:r>
        <w:t>hos</w:t>
      </w:r>
      <w:proofErr w:type="spellEnd"/>
      <w:r>
        <w:t xml:space="preserve"> </w:t>
      </w:r>
      <w:proofErr w:type="spellStart"/>
      <w:r>
        <w:t>patientpopulationen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en </w:t>
      </w:r>
      <w:proofErr w:type="spellStart"/>
      <w:r>
        <w:t>standarddosis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220 mg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gang </w:t>
      </w:r>
      <w:proofErr w:type="spellStart"/>
      <w:r>
        <w:t>dagligt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primær</w:t>
      </w:r>
      <w:proofErr w:type="spellEnd"/>
      <w:r>
        <w:t xml:space="preserve"> VTE-</w:t>
      </w:r>
      <w:proofErr w:type="spellStart"/>
      <w:r>
        <w:t>forebyggelse</w:t>
      </w:r>
      <w:proofErr w:type="spellEnd"/>
    </w:p>
    <w:p w14:paraId="000B1EF0" w14:textId="77777777" w:rsidR="003F2CEE" w:rsidRDefault="003F2CEE" w:rsidP="004567E9"/>
    <w:p w14:paraId="60737C55" w14:textId="53F698A8" w:rsidR="00754B62" w:rsidRPr="003F2CEE" w:rsidRDefault="003F2CEE" w:rsidP="004567E9">
      <w:pPr>
        <w:rPr>
          <w:b/>
          <w:bCs/>
          <w:sz w:val="28"/>
          <w:szCs w:val="28"/>
          <w:vertAlign w:val="superscript"/>
        </w:rPr>
      </w:pPr>
      <w:bookmarkStart w:id="11" w:name="_Toc161921300"/>
      <w:r w:rsidRPr="006D3808">
        <w:rPr>
          <w:rStyle w:val="Overskrift1Tegn"/>
        </w:rPr>
        <w:t>Overdosis</w:t>
      </w:r>
      <w:bookmarkEnd w:id="11"/>
      <w:r w:rsidRPr="003F2CEE">
        <w:rPr>
          <w:b/>
          <w:bCs/>
          <w:sz w:val="28"/>
          <w:szCs w:val="28"/>
          <w:vertAlign w:val="superscript"/>
        </w:rPr>
        <w:t>1.2</w:t>
      </w:r>
    </w:p>
    <w:p w14:paraId="15A2A9B4" w14:textId="55E0877E" w:rsidR="00C067A9" w:rsidRPr="004D79DD" w:rsidRDefault="00364D56" w:rsidP="00C067A9">
      <w:pPr>
        <w:rPr>
          <w:lang w:val="da-DK"/>
        </w:rPr>
      </w:pPr>
      <w:proofErr w:type="spellStart"/>
      <w:r>
        <w:t>Hvis</w:t>
      </w:r>
      <w:proofErr w:type="spellEnd"/>
      <w:r>
        <w:t xml:space="preserve"> der er </w:t>
      </w:r>
      <w:proofErr w:type="spellStart"/>
      <w:r>
        <w:t>mistanke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en </w:t>
      </w:r>
      <w:proofErr w:type="spellStart"/>
      <w:r>
        <w:t>overdosis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udførelse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koagulationstest</w:t>
      </w:r>
      <w:proofErr w:type="spellEnd"/>
      <w:r>
        <w:t xml:space="preserve"> </w:t>
      </w:r>
      <w:proofErr w:type="spellStart"/>
      <w:r>
        <w:t>hjælpe</w:t>
      </w:r>
      <w:proofErr w:type="spellEnd"/>
      <w:r>
        <w:t xml:space="preserve"> med at </w:t>
      </w:r>
      <w:proofErr w:type="spellStart"/>
      <w:r>
        <w:t>vurdere</w:t>
      </w:r>
      <w:proofErr w:type="spellEnd"/>
      <w:r>
        <w:t xml:space="preserve"> </w:t>
      </w:r>
      <w:proofErr w:type="spellStart"/>
      <w:r>
        <w:t>risikoen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>.</w:t>
      </w:r>
      <w:r w:rsidR="00576C14">
        <w:t xml:space="preserve"> </w:t>
      </w:r>
      <w:proofErr w:type="spellStart"/>
      <w:r w:rsidR="001E3F55">
        <w:t>Overdreven</w:t>
      </w:r>
      <w:proofErr w:type="spellEnd"/>
      <w:r w:rsidR="001E3F55">
        <w:t xml:space="preserve"> </w:t>
      </w:r>
      <w:proofErr w:type="spellStart"/>
      <w:r w:rsidR="001E3F55">
        <w:t>brug</w:t>
      </w:r>
      <w:proofErr w:type="spellEnd"/>
      <w:r w:rsidR="001E3F55">
        <w:t xml:space="preserve"> </w:t>
      </w:r>
      <w:proofErr w:type="spellStart"/>
      <w:r w:rsidR="001E3F55">
        <w:t>af</w:t>
      </w:r>
      <w:proofErr w:type="spellEnd"/>
      <w:r w:rsidR="00576C14">
        <w:t xml:space="preserve"> </w:t>
      </w:r>
      <w:proofErr w:type="spellStart"/>
      <w:r w:rsidR="00576C14">
        <w:t>antikoagulering</w:t>
      </w:r>
      <w:proofErr w:type="spellEnd"/>
      <w:r w:rsidR="00576C14">
        <w:t xml:space="preserve"> </w:t>
      </w:r>
      <w:proofErr w:type="spellStart"/>
      <w:r w:rsidR="00576C14">
        <w:t>kan</w:t>
      </w:r>
      <w:proofErr w:type="spellEnd"/>
      <w:r w:rsidR="00576C14">
        <w:t xml:space="preserve"> </w:t>
      </w:r>
      <w:proofErr w:type="spellStart"/>
      <w:r w:rsidR="00576C14">
        <w:t>betyde</w:t>
      </w:r>
      <w:proofErr w:type="spellEnd"/>
      <w:r w:rsidR="00576C14">
        <w:t xml:space="preserve">, at </w:t>
      </w:r>
      <w:proofErr w:type="spellStart"/>
      <w:r w:rsidR="00576C14">
        <w:t>behandlingen</w:t>
      </w:r>
      <w:proofErr w:type="spellEnd"/>
      <w:r>
        <w:t xml:space="preserve"> med </w:t>
      </w:r>
      <w:proofErr w:type="spellStart"/>
      <w:r>
        <w:t>dabigatranetexilat</w:t>
      </w:r>
      <w:proofErr w:type="spellEnd"/>
      <w:r w:rsidR="00576C14">
        <w:t xml:space="preserve"> </w:t>
      </w:r>
      <w:proofErr w:type="spellStart"/>
      <w:r w:rsidR="00576C14">
        <w:t>skal</w:t>
      </w:r>
      <w:proofErr w:type="spellEnd"/>
      <w:r w:rsidR="00576C14">
        <w:t xml:space="preserve"> </w:t>
      </w:r>
      <w:proofErr w:type="spellStart"/>
      <w:r w:rsidR="00576C14">
        <w:t>seponeres</w:t>
      </w:r>
      <w:proofErr w:type="spellEnd"/>
      <w:r>
        <w:t xml:space="preserve">. Da </w:t>
      </w:r>
      <w:proofErr w:type="spellStart"/>
      <w:r>
        <w:t>dabigatran</w:t>
      </w:r>
      <w:proofErr w:type="spellEnd"/>
      <w:r>
        <w:t xml:space="preserve"> </w:t>
      </w:r>
      <w:proofErr w:type="spellStart"/>
      <w:r>
        <w:t>overvejende</w:t>
      </w:r>
      <w:proofErr w:type="spellEnd"/>
      <w:r>
        <w:t xml:space="preserve"> </w:t>
      </w:r>
      <w:proofErr w:type="spellStart"/>
      <w:r>
        <w:t>udskilles</w:t>
      </w:r>
      <w:proofErr w:type="spellEnd"/>
      <w:r>
        <w:t xml:space="preserve"> </w:t>
      </w:r>
      <w:proofErr w:type="spellStart"/>
      <w:r>
        <w:t>renalt</w:t>
      </w:r>
      <w:proofErr w:type="spellEnd"/>
      <w:r>
        <w:t xml:space="preserve">, </w:t>
      </w:r>
      <w:proofErr w:type="spellStart"/>
      <w:r>
        <w:t>skal</w:t>
      </w:r>
      <w:proofErr w:type="spellEnd"/>
      <w:r>
        <w:t xml:space="preserve"> der </w:t>
      </w:r>
      <w:proofErr w:type="spellStart"/>
      <w:r>
        <w:t>sikres</w:t>
      </w:r>
      <w:proofErr w:type="spellEnd"/>
      <w:r>
        <w:t xml:space="preserve"> </w:t>
      </w:r>
      <w:proofErr w:type="spellStart"/>
      <w:r>
        <w:t>tilstrækkelig</w:t>
      </w:r>
      <w:proofErr w:type="spellEnd"/>
      <w:r>
        <w:t xml:space="preserve"> </w:t>
      </w:r>
      <w:proofErr w:type="spellStart"/>
      <w:r>
        <w:t>diurese</w:t>
      </w:r>
      <w:proofErr w:type="spellEnd"/>
      <w:r>
        <w:t xml:space="preserve">.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den </w:t>
      </w:r>
      <w:proofErr w:type="spellStart"/>
      <w:r>
        <w:t>lave</w:t>
      </w:r>
      <w:proofErr w:type="spellEnd"/>
      <w:r>
        <w:t xml:space="preserve"> </w:t>
      </w:r>
      <w:proofErr w:type="spellStart"/>
      <w:r>
        <w:t>plasmabinding</w:t>
      </w:r>
      <w:proofErr w:type="spellEnd"/>
      <w:r>
        <w:t xml:space="preserve"> er </w:t>
      </w:r>
      <w:proofErr w:type="spellStart"/>
      <w:r>
        <w:t>dabigatran</w:t>
      </w:r>
      <w:proofErr w:type="spellEnd"/>
      <w:r>
        <w:t xml:space="preserve"> </w:t>
      </w:r>
      <w:proofErr w:type="spellStart"/>
      <w:r>
        <w:t>dialyseegnet</w:t>
      </w:r>
      <w:proofErr w:type="spellEnd"/>
      <w:r>
        <w:t xml:space="preserve">; Der er </w:t>
      </w:r>
      <w:proofErr w:type="spellStart"/>
      <w:r>
        <w:t>begrænset</w:t>
      </w:r>
      <w:proofErr w:type="spellEnd"/>
      <w:r>
        <w:t xml:space="preserve"> </w:t>
      </w:r>
      <w:proofErr w:type="spellStart"/>
      <w:r>
        <w:t>klinisk</w:t>
      </w:r>
      <w:proofErr w:type="spellEnd"/>
      <w:r>
        <w:t xml:space="preserve"> </w:t>
      </w:r>
      <w:proofErr w:type="spellStart"/>
      <w:r>
        <w:t>erfaring</w:t>
      </w:r>
      <w:proofErr w:type="spellEnd"/>
      <w:r>
        <w:t xml:space="preserve">, der </w:t>
      </w:r>
      <w:proofErr w:type="spellStart"/>
      <w:r>
        <w:t>viser</w:t>
      </w:r>
      <w:proofErr w:type="spellEnd"/>
      <w:r>
        <w:t xml:space="preserve"> </w:t>
      </w:r>
      <w:proofErr w:type="spellStart"/>
      <w:r>
        <w:t>fordelene</w:t>
      </w:r>
      <w:proofErr w:type="spellEnd"/>
      <w:r>
        <w:t xml:space="preserve"> </w:t>
      </w:r>
      <w:proofErr w:type="spellStart"/>
      <w:r>
        <w:t>ved</w:t>
      </w:r>
      <w:proofErr w:type="spellEnd"/>
      <w:r>
        <w:t xml:space="preserve"> </w:t>
      </w:r>
      <w:proofErr w:type="spellStart"/>
      <w:r>
        <w:t>denne</w:t>
      </w:r>
      <w:proofErr w:type="spellEnd"/>
      <w:r>
        <w:t xml:space="preserve"> </w:t>
      </w:r>
      <w:proofErr w:type="spellStart"/>
      <w:r>
        <w:t>tilgang</w:t>
      </w:r>
      <w:proofErr w:type="spellEnd"/>
      <w:r>
        <w:t xml:space="preserve"> i </w:t>
      </w:r>
      <w:proofErr w:type="spellStart"/>
      <w:r>
        <w:t>kliniske</w:t>
      </w:r>
      <w:proofErr w:type="spellEnd"/>
      <w:r>
        <w:t xml:space="preserve"> </w:t>
      </w:r>
      <w:proofErr w:type="spellStart"/>
      <w:r>
        <w:t>forsøg</w:t>
      </w:r>
      <w:proofErr w:type="spellEnd"/>
      <w:r>
        <w:t xml:space="preserve">. </w:t>
      </w:r>
      <w:proofErr w:type="spellStart"/>
      <w:r>
        <w:t>Overdosering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dabigatranetexilat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forårsage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. I </w:t>
      </w:r>
      <w:proofErr w:type="spellStart"/>
      <w:r>
        <w:t>tilfælde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hæmoragiske</w:t>
      </w:r>
      <w:proofErr w:type="spellEnd"/>
      <w:r>
        <w:t xml:space="preserve"> </w:t>
      </w:r>
      <w:proofErr w:type="spellStart"/>
      <w:r>
        <w:t>komplikationer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med </w:t>
      </w:r>
      <w:proofErr w:type="spellStart"/>
      <w:r>
        <w:t>dabigatraneksilat</w:t>
      </w:r>
      <w:proofErr w:type="spellEnd"/>
      <w:r>
        <w:t xml:space="preserve"> </w:t>
      </w:r>
      <w:proofErr w:type="spellStart"/>
      <w:r>
        <w:t>seponeres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</w:t>
      </w:r>
      <w:proofErr w:type="spellStart"/>
      <w:r>
        <w:t>blødningskilden</w:t>
      </w:r>
      <w:proofErr w:type="spellEnd"/>
      <w:r>
        <w:t xml:space="preserve"> </w:t>
      </w:r>
      <w:proofErr w:type="spellStart"/>
      <w:r>
        <w:t>bør</w:t>
      </w:r>
      <w:proofErr w:type="spellEnd"/>
      <w:r>
        <w:t xml:space="preserve"> </w:t>
      </w:r>
      <w:proofErr w:type="spellStart"/>
      <w:r>
        <w:t>undersøges</w:t>
      </w:r>
      <w:proofErr w:type="spellEnd"/>
      <w:r>
        <w:t xml:space="preserve"> (se </w:t>
      </w:r>
      <w:proofErr w:type="spellStart"/>
      <w:r>
        <w:t>afsnittet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blødningskomplikationer</w:t>
      </w:r>
      <w:proofErr w:type="spellEnd"/>
      <w:r>
        <w:t xml:space="preserve">). Generelle </w:t>
      </w:r>
      <w:proofErr w:type="spellStart"/>
      <w:r>
        <w:t>støtteforanstaltninger</w:t>
      </w:r>
      <w:proofErr w:type="spellEnd"/>
      <w:r>
        <w:t xml:space="preserve"> </w:t>
      </w:r>
      <w:proofErr w:type="spellStart"/>
      <w:r>
        <w:t>såsom</w:t>
      </w:r>
      <w:proofErr w:type="spellEnd"/>
      <w:r>
        <w:t xml:space="preserve"> </w:t>
      </w:r>
      <w:proofErr w:type="spellStart"/>
      <w:r>
        <w:t>anvendelse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oral</w:t>
      </w:r>
    </w:p>
    <w:p w14:paraId="1B28F483" w14:textId="0FECBC4A" w:rsidR="003F2CEE" w:rsidRDefault="00C067A9" w:rsidP="00C067A9">
      <w:proofErr w:type="spellStart"/>
      <w:r w:rsidRPr="00972C87">
        <w:t>Aktivt</w:t>
      </w:r>
      <w:proofErr w:type="spellEnd"/>
      <w:r w:rsidRPr="00972C87">
        <w:t xml:space="preserve"> </w:t>
      </w:r>
      <w:proofErr w:type="spellStart"/>
      <w:r w:rsidRPr="00972C87">
        <w:t>kul</w:t>
      </w:r>
      <w:proofErr w:type="spellEnd"/>
      <w:r w:rsidRPr="00972C87">
        <w:t xml:space="preserve"> </w:t>
      </w:r>
      <w:proofErr w:type="spellStart"/>
      <w:r w:rsidRPr="00972C87">
        <w:t>for</w:t>
      </w:r>
      <w:proofErr w:type="spellEnd"/>
      <w:r w:rsidRPr="00972C87">
        <w:t xml:space="preserve"> at </w:t>
      </w:r>
      <w:proofErr w:type="spellStart"/>
      <w:r w:rsidRPr="00972C87">
        <w:t>reducere</w:t>
      </w:r>
      <w:proofErr w:type="spellEnd"/>
      <w:r w:rsidRPr="00972C87">
        <w:t xml:space="preserve"> </w:t>
      </w:r>
      <w:proofErr w:type="spellStart"/>
      <w:r w:rsidRPr="00972C87">
        <w:t>absorptionen</w:t>
      </w:r>
      <w:proofErr w:type="spellEnd"/>
      <w:r w:rsidRPr="00972C87">
        <w:t xml:space="preserve"> </w:t>
      </w:r>
      <w:proofErr w:type="spellStart"/>
      <w:r w:rsidRPr="00972C87">
        <w:t>kan</w:t>
      </w:r>
      <w:proofErr w:type="spellEnd"/>
      <w:r w:rsidRPr="00972C87">
        <w:t xml:space="preserve"> </w:t>
      </w:r>
      <w:proofErr w:type="spellStart"/>
      <w:r w:rsidRPr="00972C87">
        <w:t>overvejes</w:t>
      </w:r>
      <w:proofErr w:type="spellEnd"/>
      <w:r w:rsidRPr="00972C87">
        <w:t>.</w:t>
      </w:r>
    </w:p>
    <w:p w14:paraId="0D390B6D" w14:textId="729B9A0E" w:rsidR="003F2CEE" w:rsidRDefault="003F2CEE" w:rsidP="003F2CEE"/>
    <w:p w14:paraId="5671EDB1" w14:textId="24AE33DE" w:rsidR="003F2CEE" w:rsidRPr="003F2CEE" w:rsidRDefault="003F2CEE" w:rsidP="003F2CEE">
      <w:pPr>
        <w:rPr>
          <w:b/>
          <w:bCs/>
          <w:sz w:val="28"/>
          <w:szCs w:val="28"/>
        </w:rPr>
      </w:pPr>
      <w:bookmarkStart w:id="12" w:name="_Toc161921301"/>
      <w:proofErr w:type="spellStart"/>
      <w:r w:rsidRPr="006D3808">
        <w:rPr>
          <w:rStyle w:val="Overskrift1Tegn"/>
        </w:rPr>
        <w:t>Behandling</w:t>
      </w:r>
      <w:proofErr w:type="spellEnd"/>
      <w:r w:rsidRPr="006D3808">
        <w:rPr>
          <w:rStyle w:val="Overskrift1Tegn"/>
        </w:rPr>
        <w:t xml:space="preserve"> </w:t>
      </w:r>
      <w:proofErr w:type="spellStart"/>
      <w:r w:rsidRPr="006D3808">
        <w:rPr>
          <w:rStyle w:val="Overskrift1Tegn"/>
        </w:rPr>
        <w:t>af</w:t>
      </w:r>
      <w:proofErr w:type="spellEnd"/>
      <w:r w:rsidRPr="006D3808">
        <w:rPr>
          <w:rStyle w:val="Overskrift1Tegn"/>
        </w:rPr>
        <w:t xml:space="preserve"> blødningskomplikationer</w:t>
      </w:r>
      <w:bookmarkEnd w:id="12"/>
      <w:r w:rsidRPr="003F2CEE">
        <w:rPr>
          <w:b/>
          <w:bCs/>
          <w:sz w:val="28"/>
          <w:szCs w:val="28"/>
          <w:vertAlign w:val="superscript"/>
        </w:rPr>
        <w:t>1,2,9</w:t>
      </w:r>
    </w:p>
    <w:p w14:paraId="7983FF6E" w14:textId="6313868B" w:rsidR="003F2CEE" w:rsidRDefault="00723567" w:rsidP="003F2CEE">
      <w:proofErr w:type="spellStart"/>
      <w:r>
        <w:t>Hvis</w:t>
      </w:r>
      <w:proofErr w:type="spellEnd"/>
      <w:r>
        <w:t xml:space="preserve"> hurtig </w:t>
      </w:r>
      <w:proofErr w:type="spellStart"/>
      <w:r>
        <w:t>reversering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dabigatran's</w:t>
      </w:r>
      <w:proofErr w:type="spellEnd"/>
      <w:r>
        <w:t xml:space="preserve"> </w:t>
      </w:r>
      <w:proofErr w:type="spellStart"/>
      <w:r>
        <w:t>antikoagulerende</w:t>
      </w:r>
      <w:proofErr w:type="spellEnd"/>
      <w:r>
        <w:t xml:space="preserve"> </w:t>
      </w:r>
      <w:proofErr w:type="spellStart"/>
      <w:r>
        <w:t>virkning</w:t>
      </w:r>
      <w:proofErr w:type="spellEnd"/>
      <w:r>
        <w:t xml:space="preserve"> er </w:t>
      </w:r>
      <w:proofErr w:type="spellStart"/>
      <w:r>
        <w:t>nødvendig</w:t>
      </w:r>
      <w:proofErr w:type="spellEnd"/>
      <w:r>
        <w:t xml:space="preserve"> i </w:t>
      </w:r>
      <w:proofErr w:type="spellStart"/>
      <w:r>
        <w:t>situationer</w:t>
      </w:r>
      <w:proofErr w:type="spellEnd"/>
      <w:r>
        <w:t xml:space="preserve"> med </w:t>
      </w:r>
      <w:proofErr w:type="spellStart"/>
      <w:r>
        <w:t>livstruende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ukontrolleret</w:t>
      </w:r>
      <w:proofErr w:type="spellEnd"/>
      <w:r>
        <w:t xml:space="preserve"> </w:t>
      </w:r>
      <w:proofErr w:type="spellStart"/>
      <w:r>
        <w:t>blødning</w:t>
      </w:r>
      <w:proofErr w:type="spellEnd"/>
      <w:r>
        <w:t xml:space="preserve">, er en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modgift</w:t>
      </w:r>
      <w:proofErr w:type="spellEnd"/>
      <w:r>
        <w:t xml:space="preserve"> (</w:t>
      </w:r>
      <w:proofErr w:type="spellStart"/>
      <w:r>
        <w:t>idarucizumab</w:t>
      </w:r>
      <w:proofErr w:type="spellEnd"/>
      <w:r>
        <w:t xml:space="preserve">) </w:t>
      </w:r>
      <w:proofErr w:type="spellStart"/>
      <w:r>
        <w:t>tilgængelig</w:t>
      </w:r>
      <w:proofErr w:type="spellEnd"/>
      <w:r>
        <w:t>.</w:t>
      </w:r>
    </w:p>
    <w:p w14:paraId="42C4C970" w14:textId="3B7D2E20" w:rsidR="00754B62" w:rsidRDefault="003F2CEE" w:rsidP="003F2CEE">
      <w:proofErr w:type="spellStart"/>
      <w:r w:rsidRPr="003F2CEE">
        <w:t>Afhængigt</w:t>
      </w:r>
      <w:proofErr w:type="spellEnd"/>
      <w:r w:rsidRPr="003F2CEE">
        <w:t xml:space="preserve"> </w:t>
      </w:r>
      <w:proofErr w:type="spellStart"/>
      <w:r w:rsidRPr="003F2CEE">
        <w:t>af</w:t>
      </w:r>
      <w:proofErr w:type="spellEnd"/>
      <w:r w:rsidRPr="003F2CEE">
        <w:t xml:space="preserve"> den </w:t>
      </w:r>
      <w:proofErr w:type="spellStart"/>
      <w:r w:rsidRPr="003F2CEE">
        <w:t>kliniske</w:t>
      </w:r>
      <w:proofErr w:type="spellEnd"/>
      <w:r w:rsidRPr="003F2CEE">
        <w:t xml:space="preserve"> </w:t>
      </w:r>
      <w:proofErr w:type="spellStart"/>
      <w:r w:rsidRPr="003F2CEE">
        <w:t>situation</w:t>
      </w:r>
      <w:proofErr w:type="spellEnd"/>
      <w:r w:rsidRPr="003F2CEE">
        <w:t xml:space="preserve"> </w:t>
      </w:r>
      <w:proofErr w:type="spellStart"/>
      <w:r w:rsidRPr="003F2CEE">
        <w:t>bør</w:t>
      </w:r>
      <w:proofErr w:type="spellEnd"/>
      <w:r w:rsidRPr="003F2CEE">
        <w:t xml:space="preserve"> passende </w:t>
      </w:r>
      <w:proofErr w:type="spellStart"/>
      <w:r w:rsidRPr="003F2CEE">
        <w:t>understøttende</w:t>
      </w:r>
      <w:proofErr w:type="spellEnd"/>
      <w:r w:rsidRPr="003F2CEE">
        <w:t xml:space="preserve"> </w:t>
      </w:r>
      <w:proofErr w:type="spellStart"/>
      <w:r w:rsidRPr="003F2CEE">
        <w:t>behandling</w:t>
      </w:r>
      <w:proofErr w:type="spellEnd"/>
      <w:r w:rsidRPr="003F2CEE">
        <w:t xml:space="preserve">, </w:t>
      </w:r>
      <w:proofErr w:type="spellStart"/>
      <w:r w:rsidRPr="003F2CEE">
        <w:t>såsom</w:t>
      </w:r>
      <w:proofErr w:type="spellEnd"/>
      <w:r w:rsidRPr="003F2CEE">
        <w:t xml:space="preserve"> </w:t>
      </w:r>
      <w:proofErr w:type="spellStart"/>
      <w:r w:rsidRPr="003F2CEE">
        <w:t>kirurgisk</w:t>
      </w:r>
      <w:proofErr w:type="spellEnd"/>
      <w:r w:rsidRPr="003F2CEE">
        <w:t xml:space="preserve"> </w:t>
      </w:r>
      <w:proofErr w:type="spellStart"/>
      <w:r w:rsidRPr="003F2CEE">
        <w:t>hæmostase</w:t>
      </w:r>
      <w:proofErr w:type="spellEnd"/>
      <w:r w:rsidRPr="003F2CEE">
        <w:t xml:space="preserve"> </w:t>
      </w:r>
      <w:proofErr w:type="spellStart"/>
      <w:r w:rsidRPr="003F2CEE">
        <w:t>eller</w:t>
      </w:r>
      <w:proofErr w:type="spellEnd"/>
      <w:r w:rsidRPr="003F2CEE">
        <w:t xml:space="preserve"> </w:t>
      </w:r>
      <w:proofErr w:type="spellStart"/>
      <w:r w:rsidRPr="003F2CEE">
        <w:t>udskiftning</w:t>
      </w:r>
      <w:proofErr w:type="spellEnd"/>
      <w:r w:rsidRPr="003F2CEE">
        <w:t xml:space="preserve"> </w:t>
      </w:r>
      <w:proofErr w:type="spellStart"/>
      <w:r w:rsidRPr="003F2CEE">
        <w:t>af</w:t>
      </w:r>
      <w:proofErr w:type="spellEnd"/>
      <w:r w:rsidRPr="003F2CEE">
        <w:t xml:space="preserve"> </w:t>
      </w:r>
      <w:proofErr w:type="spellStart"/>
      <w:r w:rsidRPr="003F2CEE">
        <w:t>blodvolumen</w:t>
      </w:r>
      <w:proofErr w:type="spellEnd"/>
      <w:r w:rsidRPr="003F2CEE">
        <w:t xml:space="preserve">, </w:t>
      </w:r>
      <w:proofErr w:type="spellStart"/>
      <w:r w:rsidRPr="003F2CEE">
        <w:t>initieres</w:t>
      </w:r>
      <w:proofErr w:type="spellEnd"/>
      <w:r w:rsidRPr="003F2CEE">
        <w:t xml:space="preserve">. </w:t>
      </w:r>
      <w:proofErr w:type="spellStart"/>
      <w:r w:rsidRPr="003F2CEE">
        <w:t>Det</w:t>
      </w:r>
      <w:proofErr w:type="spellEnd"/>
      <w:r w:rsidRPr="003F2CEE">
        <w:t xml:space="preserve"> </w:t>
      </w:r>
      <w:proofErr w:type="spellStart"/>
      <w:r w:rsidRPr="003F2CEE">
        <w:t>bør</w:t>
      </w:r>
      <w:proofErr w:type="spellEnd"/>
      <w:r w:rsidRPr="003F2CEE">
        <w:t xml:space="preserve"> </w:t>
      </w:r>
      <w:proofErr w:type="spellStart"/>
      <w:r w:rsidRPr="003F2CEE">
        <w:t>også</w:t>
      </w:r>
      <w:proofErr w:type="spellEnd"/>
      <w:r w:rsidRPr="003F2CEE">
        <w:t xml:space="preserve"> </w:t>
      </w:r>
      <w:proofErr w:type="spellStart"/>
      <w:r w:rsidRPr="003F2CEE">
        <w:t>overvejes</w:t>
      </w:r>
      <w:proofErr w:type="spellEnd"/>
      <w:r w:rsidRPr="003F2CEE">
        <w:t xml:space="preserve"> at </w:t>
      </w:r>
      <w:proofErr w:type="spellStart"/>
      <w:r w:rsidRPr="003F2CEE">
        <w:t>anvende</w:t>
      </w:r>
      <w:proofErr w:type="spellEnd"/>
      <w:r w:rsidRPr="003F2CEE">
        <w:t xml:space="preserve"> </w:t>
      </w:r>
      <w:proofErr w:type="spellStart"/>
      <w:r w:rsidRPr="003F2CEE">
        <w:t>frisk</w:t>
      </w:r>
      <w:proofErr w:type="spellEnd"/>
      <w:r w:rsidRPr="003F2CEE">
        <w:t xml:space="preserve"> </w:t>
      </w:r>
      <w:proofErr w:type="spellStart"/>
      <w:r w:rsidRPr="003F2CEE">
        <w:t>fuldblod</w:t>
      </w:r>
      <w:proofErr w:type="spellEnd"/>
      <w:r w:rsidRPr="003F2CEE">
        <w:t xml:space="preserve">, </w:t>
      </w:r>
      <w:proofErr w:type="spellStart"/>
      <w:r w:rsidRPr="003F2CEE">
        <w:t>frisk</w:t>
      </w:r>
      <w:proofErr w:type="spellEnd"/>
      <w:r w:rsidR="00136B0F">
        <w:t xml:space="preserve"> </w:t>
      </w:r>
      <w:proofErr w:type="spellStart"/>
      <w:r w:rsidR="00136B0F">
        <w:t>frosset</w:t>
      </w:r>
      <w:proofErr w:type="spellEnd"/>
      <w:r w:rsidRPr="003F2CEE">
        <w:t xml:space="preserve"> </w:t>
      </w:r>
      <w:proofErr w:type="spellStart"/>
      <w:r w:rsidRPr="003F2CEE">
        <w:t>plasma</w:t>
      </w:r>
      <w:proofErr w:type="spellEnd"/>
      <w:r w:rsidRPr="003F2CEE">
        <w:t xml:space="preserve"> </w:t>
      </w:r>
      <w:proofErr w:type="spellStart"/>
      <w:r w:rsidRPr="003F2CEE">
        <w:t>og</w:t>
      </w:r>
      <w:proofErr w:type="spellEnd"/>
      <w:r w:rsidRPr="003F2CEE">
        <w:t>/</w:t>
      </w:r>
      <w:proofErr w:type="spellStart"/>
      <w:r w:rsidRPr="003F2CEE">
        <w:t>eller</w:t>
      </w:r>
      <w:proofErr w:type="spellEnd"/>
      <w:r w:rsidRPr="003F2CEE">
        <w:t xml:space="preserve"> </w:t>
      </w:r>
      <w:proofErr w:type="spellStart"/>
      <w:r w:rsidRPr="003F2CEE">
        <w:t>trombocytkoncentrater</w:t>
      </w:r>
      <w:proofErr w:type="spellEnd"/>
      <w:r w:rsidRPr="003F2CEE">
        <w:t xml:space="preserve"> i </w:t>
      </w:r>
      <w:proofErr w:type="spellStart"/>
      <w:r w:rsidRPr="003F2CEE">
        <w:t>tilfælde</w:t>
      </w:r>
      <w:proofErr w:type="spellEnd"/>
      <w:r w:rsidRPr="003F2CEE">
        <w:t xml:space="preserve">, </w:t>
      </w:r>
      <w:proofErr w:type="spellStart"/>
      <w:r w:rsidRPr="003F2CEE">
        <w:t>hvor</w:t>
      </w:r>
      <w:proofErr w:type="spellEnd"/>
      <w:r w:rsidRPr="003F2CEE">
        <w:t xml:space="preserve"> </w:t>
      </w:r>
      <w:proofErr w:type="spellStart"/>
      <w:r w:rsidRPr="003F2CEE">
        <w:t>trombocytopeni</w:t>
      </w:r>
      <w:proofErr w:type="spellEnd"/>
      <w:r w:rsidRPr="003F2CEE">
        <w:t xml:space="preserve"> er </w:t>
      </w:r>
      <w:proofErr w:type="spellStart"/>
      <w:r w:rsidRPr="003F2CEE">
        <w:t>til</w:t>
      </w:r>
      <w:proofErr w:type="spellEnd"/>
      <w:r w:rsidRPr="003F2CEE">
        <w:t xml:space="preserve"> </w:t>
      </w:r>
      <w:proofErr w:type="spellStart"/>
      <w:r w:rsidRPr="003F2CEE">
        <w:lastRenderedPageBreak/>
        <w:t>stede</w:t>
      </w:r>
      <w:proofErr w:type="spellEnd"/>
      <w:r w:rsidRPr="003F2CEE">
        <w:t xml:space="preserve">, </w:t>
      </w:r>
      <w:proofErr w:type="spellStart"/>
      <w:r w:rsidRPr="003F2CEE">
        <w:t>eller</w:t>
      </w:r>
      <w:proofErr w:type="spellEnd"/>
      <w:r w:rsidRPr="003F2CEE">
        <w:t xml:space="preserve"> </w:t>
      </w:r>
      <w:proofErr w:type="spellStart"/>
      <w:r w:rsidRPr="003F2CEE">
        <w:t>hvor</w:t>
      </w:r>
      <w:proofErr w:type="spellEnd"/>
      <w:r w:rsidRPr="003F2CEE">
        <w:t xml:space="preserve"> </w:t>
      </w:r>
      <w:proofErr w:type="spellStart"/>
      <w:r w:rsidRPr="003F2CEE">
        <w:t>langtidsvirkende</w:t>
      </w:r>
      <w:proofErr w:type="spellEnd"/>
      <w:r w:rsidRPr="003F2CEE">
        <w:t xml:space="preserve"> </w:t>
      </w:r>
      <w:proofErr w:type="spellStart"/>
      <w:r w:rsidRPr="003F2CEE">
        <w:t>trombocythæmmende</w:t>
      </w:r>
      <w:proofErr w:type="spellEnd"/>
      <w:r w:rsidRPr="003F2CEE">
        <w:t xml:space="preserve"> </w:t>
      </w:r>
      <w:proofErr w:type="spellStart"/>
      <w:r w:rsidRPr="003F2CEE">
        <w:t>lægemidler</w:t>
      </w:r>
      <w:proofErr w:type="spellEnd"/>
      <w:r w:rsidRPr="003F2CEE">
        <w:t xml:space="preserve"> er </w:t>
      </w:r>
      <w:proofErr w:type="spellStart"/>
      <w:r w:rsidRPr="003F2CEE">
        <w:t>blevet</w:t>
      </w:r>
      <w:proofErr w:type="spellEnd"/>
      <w:r w:rsidRPr="003F2CEE">
        <w:t xml:space="preserve"> </w:t>
      </w:r>
      <w:proofErr w:type="spellStart"/>
      <w:r w:rsidRPr="003F2CEE">
        <w:t>anvendt</w:t>
      </w:r>
      <w:proofErr w:type="spellEnd"/>
      <w:r w:rsidRPr="003F2CEE">
        <w:t xml:space="preserve">. </w:t>
      </w:r>
      <w:proofErr w:type="spellStart"/>
      <w:r w:rsidRPr="003F2CEE">
        <w:t>Koagulationsfaktorkoncentrater</w:t>
      </w:r>
      <w:proofErr w:type="spellEnd"/>
      <w:r w:rsidRPr="003F2CEE">
        <w:t xml:space="preserve"> (</w:t>
      </w:r>
      <w:proofErr w:type="spellStart"/>
      <w:r w:rsidRPr="003F2CEE">
        <w:t>aktiverede</w:t>
      </w:r>
      <w:proofErr w:type="spellEnd"/>
      <w:r w:rsidRPr="003F2CEE">
        <w:t xml:space="preserve"> </w:t>
      </w:r>
      <w:proofErr w:type="spellStart"/>
      <w:r w:rsidRPr="003F2CEE">
        <w:t>eller</w:t>
      </w:r>
      <w:proofErr w:type="spellEnd"/>
      <w:r w:rsidRPr="003F2CEE">
        <w:t xml:space="preserve"> </w:t>
      </w:r>
      <w:proofErr w:type="spellStart"/>
      <w:r w:rsidRPr="003F2CEE">
        <w:t>ikke-aktiverede</w:t>
      </w:r>
      <w:proofErr w:type="spellEnd"/>
      <w:r w:rsidRPr="003F2CEE">
        <w:t xml:space="preserve">) </w:t>
      </w:r>
      <w:proofErr w:type="spellStart"/>
      <w:r w:rsidRPr="003F2CEE">
        <w:t>eller</w:t>
      </w:r>
      <w:proofErr w:type="spellEnd"/>
      <w:r w:rsidRPr="003F2CEE">
        <w:t xml:space="preserve"> rekombinante </w:t>
      </w:r>
      <w:proofErr w:type="spellStart"/>
      <w:r w:rsidRPr="003F2CEE">
        <w:t>faktor</w:t>
      </w:r>
      <w:proofErr w:type="spellEnd"/>
      <w:r w:rsidRPr="003F2CEE">
        <w:t xml:space="preserve"> </w:t>
      </w:r>
      <w:proofErr w:type="spellStart"/>
      <w:r w:rsidRPr="003F2CEE">
        <w:t>VIIa</w:t>
      </w:r>
      <w:proofErr w:type="spellEnd"/>
      <w:r w:rsidRPr="003F2CEE">
        <w:t xml:space="preserve"> </w:t>
      </w:r>
      <w:proofErr w:type="spellStart"/>
      <w:r w:rsidRPr="003F2CEE">
        <w:t>kan</w:t>
      </w:r>
      <w:proofErr w:type="spellEnd"/>
      <w:r w:rsidRPr="003F2CEE">
        <w:t xml:space="preserve"> </w:t>
      </w:r>
      <w:proofErr w:type="spellStart"/>
      <w:r w:rsidRPr="003F2CEE">
        <w:t>overvejes</w:t>
      </w:r>
      <w:proofErr w:type="spellEnd"/>
      <w:r w:rsidRPr="003F2CEE">
        <w:t xml:space="preserve"> </w:t>
      </w:r>
      <w:proofErr w:type="spellStart"/>
      <w:r w:rsidRPr="003F2CEE">
        <w:t>til</w:t>
      </w:r>
      <w:proofErr w:type="spellEnd"/>
      <w:r w:rsidRPr="003F2CEE">
        <w:t xml:space="preserve"> </w:t>
      </w:r>
      <w:proofErr w:type="spellStart"/>
      <w:r w:rsidRPr="003F2CEE">
        <w:t>behandling</w:t>
      </w:r>
      <w:proofErr w:type="spellEnd"/>
      <w:r w:rsidRPr="003F2CEE">
        <w:t xml:space="preserve">. Data </w:t>
      </w:r>
      <w:proofErr w:type="spellStart"/>
      <w:r w:rsidRPr="003F2CEE">
        <w:t>om</w:t>
      </w:r>
      <w:proofErr w:type="spellEnd"/>
      <w:r w:rsidRPr="003F2CEE">
        <w:t xml:space="preserve"> </w:t>
      </w:r>
      <w:proofErr w:type="spellStart"/>
      <w:r w:rsidRPr="003F2CEE">
        <w:t>kliniske</w:t>
      </w:r>
      <w:proofErr w:type="spellEnd"/>
      <w:r w:rsidRPr="003F2CEE">
        <w:t xml:space="preserve"> </w:t>
      </w:r>
      <w:proofErr w:type="spellStart"/>
      <w:r w:rsidRPr="003F2CEE">
        <w:t>fordele</w:t>
      </w:r>
      <w:proofErr w:type="spellEnd"/>
      <w:r w:rsidRPr="003F2CEE">
        <w:t xml:space="preserve"> er </w:t>
      </w:r>
      <w:proofErr w:type="spellStart"/>
      <w:r w:rsidRPr="003F2CEE">
        <w:t>dog</w:t>
      </w:r>
      <w:proofErr w:type="spellEnd"/>
      <w:r w:rsidRPr="003F2CEE">
        <w:t xml:space="preserve"> </w:t>
      </w:r>
      <w:proofErr w:type="spellStart"/>
      <w:r w:rsidRPr="003F2CEE">
        <w:t>meget</w:t>
      </w:r>
      <w:proofErr w:type="spellEnd"/>
      <w:r w:rsidRPr="003F2CEE">
        <w:t xml:space="preserve"> </w:t>
      </w:r>
      <w:proofErr w:type="spellStart"/>
      <w:r w:rsidRPr="003F2CEE">
        <w:t>begrænsede</w:t>
      </w:r>
      <w:proofErr w:type="spellEnd"/>
      <w:r w:rsidRPr="003F2CEE">
        <w:t>.</w:t>
      </w:r>
    </w:p>
    <w:p w14:paraId="70F94DA1" w14:textId="0670D544" w:rsidR="003F2CEE" w:rsidRDefault="003F2CEE" w:rsidP="003F2CEE"/>
    <w:p w14:paraId="31B24D92" w14:textId="2B9C1E02" w:rsidR="003F2CEE" w:rsidRPr="003F2CEE" w:rsidRDefault="00855351" w:rsidP="006D3808">
      <w:pPr>
        <w:pStyle w:val="Overskrift1"/>
      </w:pPr>
      <w:bookmarkStart w:id="13" w:name="_Toc161921302"/>
      <w:proofErr w:type="spellStart"/>
      <w:r w:rsidRPr="00855351">
        <w:t>Patientkort</w:t>
      </w:r>
      <w:proofErr w:type="spellEnd"/>
      <w:r w:rsidRPr="00855351">
        <w:t xml:space="preserve"> </w:t>
      </w:r>
      <w:proofErr w:type="spellStart"/>
      <w:r w:rsidRPr="00855351">
        <w:t>og</w:t>
      </w:r>
      <w:proofErr w:type="spellEnd"/>
      <w:r w:rsidRPr="00855351">
        <w:t xml:space="preserve"> </w:t>
      </w:r>
      <w:proofErr w:type="spellStart"/>
      <w:r w:rsidRPr="00855351">
        <w:t>patientrådgivning</w:t>
      </w:r>
      <w:bookmarkEnd w:id="13"/>
      <w:proofErr w:type="spellEnd"/>
    </w:p>
    <w:p w14:paraId="1701A409" w14:textId="1BF1D275" w:rsidR="003F2CEE" w:rsidRPr="003F2CEE" w:rsidRDefault="003F2CEE" w:rsidP="003F2CEE">
      <w:r w:rsidRPr="003F2CEE">
        <w:t xml:space="preserve">Patienten </w:t>
      </w:r>
      <w:proofErr w:type="spellStart"/>
      <w:r w:rsidRPr="003F2CEE">
        <w:t>får</w:t>
      </w:r>
      <w:proofErr w:type="spellEnd"/>
      <w:r w:rsidRPr="003F2CEE">
        <w:t xml:space="preserve"> </w:t>
      </w:r>
      <w:proofErr w:type="spellStart"/>
      <w:r w:rsidRPr="003F2CEE">
        <w:t>udleveret</w:t>
      </w:r>
      <w:proofErr w:type="spellEnd"/>
      <w:r w:rsidRPr="003F2CEE">
        <w:t xml:space="preserve"> et </w:t>
      </w:r>
      <w:proofErr w:type="spellStart"/>
      <w:r w:rsidRPr="003F2CEE">
        <w:t>patientkort</w:t>
      </w:r>
      <w:proofErr w:type="spellEnd"/>
      <w:r w:rsidRPr="003F2CEE">
        <w:t xml:space="preserve"> </w:t>
      </w:r>
      <w:proofErr w:type="spellStart"/>
      <w:r w:rsidRPr="003F2CEE">
        <w:t>til</w:t>
      </w:r>
      <w:proofErr w:type="spellEnd"/>
      <w:r w:rsidRPr="003F2CEE">
        <w:t xml:space="preserve"> </w:t>
      </w:r>
      <w:proofErr w:type="spellStart"/>
      <w:r w:rsidRPr="003F2CEE">
        <w:t>sikker</w:t>
      </w:r>
      <w:proofErr w:type="spellEnd"/>
      <w:r w:rsidRPr="003F2CEE">
        <w:t xml:space="preserve"> </w:t>
      </w:r>
      <w:proofErr w:type="spellStart"/>
      <w:r w:rsidRPr="003F2CEE">
        <w:t>brug</w:t>
      </w:r>
      <w:proofErr w:type="spellEnd"/>
      <w:r w:rsidRPr="003F2CEE">
        <w:t xml:space="preserve"> </w:t>
      </w:r>
      <w:proofErr w:type="spellStart"/>
      <w:r w:rsidRPr="003F2CEE">
        <w:t>sammen</w:t>
      </w:r>
      <w:proofErr w:type="spellEnd"/>
      <w:r w:rsidRPr="003F2CEE">
        <w:t xml:space="preserve"> med </w:t>
      </w:r>
      <w:proofErr w:type="spellStart"/>
      <w:r w:rsidRPr="003F2CEE">
        <w:t>hver</w:t>
      </w:r>
      <w:proofErr w:type="spellEnd"/>
      <w:r w:rsidRPr="003F2CEE">
        <w:t xml:space="preserve"> </w:t>
      </w:r>
      <w:proofErr w:type="spellStart"/>
      <w:r w:rsidRPr="003F2CEE">
        <w:t>pakning</w:t>
      </w:r>
      <w:proofErr w:type="spellEnd"/>
      <w:r w:rsidRPr="003F2CEE">
        <w:t xml:space="preserve"> med </w:t>
      </w:r>
      <w:proofErr w:type="spellStart"/>
      <w:r w:rsidRPr="003F2CEE">
        <w:t>Dabigatranetexilat</w:t>
      </w:r>
      <w:proofErr w:type="spellEnd"/>
      <w:r w:rsidRPr="003F2CEE">
        <w:t xml:space="preserve">. </w:t>
      </w:r>
      <w:proofErr w:type="spellStart"/>
      <w:r w:rsidRPr="003F2CEE">
        <w:t>Patienterne</w:t>
      </w:r>
      <w:proofErr w:type="spellEnd"/>
      <w:r w:rsidRPr="003F2CEE">
        <w:t xml:space="preserve"> </w:t>
      </w:r>
      <w:proofErr w:type="spellStart"/>
      <w:r w:rsidRPr="003F2CEE">
        <w:t>skal</w:t>
      </w:r>
      <w:proofErr w:type="spellEnd"/>
      <w:r w:rsidRPr="003F2CEE">
        <w:t xml:space="preserve"> </w:t>
      </w:r>
      <w:proofErr w:type="spellStart"/>
      <w:r w:rsidRPr="003F2CEE">
        <w:t>informeres</w:t>
      </w:r>
      <w:proofErr w:type="spellEnd"/>
      <w:r w:rsidRPr="003F2CEE">
        <w:t xml:space="preserve"> </w:t>
      </w:r>
      <w:proofErr w:type="spellStart"/>
      <w:r w:rsidRPr="003F2CEE">
        <w:t>om</w:t>
      </w:r>
      <w:proofErr w:type="spellEnd"/>
      <w:r w:rsidRPr="003F2CEE">
        <w:t xml:space="preserve">, at de </w:t>
      </w:r>
      <w:proofErr w:type="spellStart"/>
      <w:r w:rsidRPr="003F2CEE">
        <w:t>altid</w:t>
      </w:r>
      <w:proofErr w:type="spellEnd"/>
      <w:r w:rsidRPr="003F2CEE">
        <w:t xml:space="preserve"> </w:t>
      </w:r>
      <w:proofErr w:type="spellStart"/>
      <w:r w:rsidRPr="003F2CEE">
        <w:t>skal</w:t>
      </w:r>
      <w:proofErr w:type="spellEnd"/>
      <w:r w:rsidRPr="003F2CEE">
        <w:t xml:space="preserve"> </w:t>
      </w:r>
      <w:proofErr w:type="spellStart"/>
      <w:r w:rsidRPr="003F2CEE">
        <w:t>have</w:t>
      </w:r>
      <w:proofErr w:type="spellEnd"/>
      <w:r w:rsidRPr="003F2CEE">
        <w:t xml:space="preserve"> </w:t>
      </w:r>
      <w:proofErr w:type="spellStart"/>
      <w:r w:rsidRPr="003F2CEE">
        <w:t>patientkortet</w:t>
      </w:r>
      <w:proofErr w:type="spellEnd"/>
      <w:r w:rsidRPr="003F2CEE">
        <w:t xml:space="preserve"> </w:t>
      </w:r>
      <w:proofErr w:type="spellStart"/>
      <w:r w:rsidRPr="003F2CEE">
        <w:t>på</w:t>
      </w:r>
      <w:proofErr w:type="spellEnd"/>
      <w:r w:rsidRPr="003F2CEE">
        <w:t xml:space="preserve"> </w:t>
      </w:r>
      <w:proofErr w:type="spellStart"/>
      <w:r w:rsidRPr="003F2CEE">
        <w:t>sig</w:t>
      </w:r>
      <w:proofErr w:type="spellEnd"/>
      <w:r w:rsidRPr="003F2CEE">
        <w:t xml:space="preserve"> </w:t>
      </w:r>
      <w:proofErr w:type="spellStart"/>
      <w:r w:rsidRPr="003F2CEE">
        <w:t>og</w:t>
      </w:r>
      <w:proofErr w:type="spellEnd"/>
      <w:r w:rsidRPr="003F2CEE">
        <w:t xml:space="preserve"> </w:t>
      </w:r>
      <w:proofErr w:type="spellStart"/>
      <w:r w:rsidRPr="003F2CEE">
        <w:t>vise</w:t>
      </w:r>
      <w:proofErr w:type="spellEnd"/>
      <w:r w:rsidRPr="003F2CEE">
        <w:t xml:space="preserve"> </w:t>
      </w:r>
      <w:proofErr w:type="spellStart"/>
      <w:r w:rsidRPr="003F2CEE">
        <w:t>det</w:t>
      </w:r>
      <w:proofErr w:type="spellEnd"/>
      <w:r w:rsidRPr="003F2CEE">
        <w:t xml:space="preserve"> </w:t>
      </w:r>
      <w:proofErr w:type="spellStart"/>
      <w:r w:rsidRPr="003F2CEE">
        <w:t>til</w:t>
      </w:r>
      <w:proofErr w:type="spellEnd"/>
      <w:r w:rsidRPr="003F2CEE">
        <w:t xml:space="preserve"> </w:t>
      </w:r>
      <w:proofErr w:type="spellStart"/>
      <w:r w:rsidRPr="003F2CEE">
        <w:t>sundhedspersonalet</w:t>
      </w:r>
      <w:proofErr w:type="spellEnd"/>
      <w:r w:rsidRPr="003F2CEE">
        <w:t xml:space="preserve"> </w:t>
      </w:r>
      <w:proofErr w:type="spellStart"/>
      <w:r w:rsidRPr="003F2CEE">
        <w:t>før</w:t>
      </w:r>
      <w:proofErr w:type="spellEnd"/>
      <w:r w:rsidRPr="003F2CEE">
        <w:t xml:space="preserve"> </w:t>
      </w:r>
      <w:proofErr w:type="spellStart"/>
      <w:r w:rsidRPr="003F2CEE">
        <w:t>hver</w:t>
      </w:r>
      <w:proofErr w:type="spellEnd"/>
      <w:r w:rsidRPr="003F2CEE">
        <w:t xml:space="preserve"> </w:t>
      </w:r>
      <w:proofErr w:type="spellStart"/>
      <w:r w:rsidRPr="003F2CEE">
        <w:t>behandling</w:t>
      </w:r>
      <w:proofErr w:type="spellEnd"/>
      <w:r w:rsidRPr="003F2CEE">
        <w:t xml:space="preserve">. </w:t>
      </w:r>
      <w:proofErr w:type="spellStart"/>
      <w:r w:rsidRPr="003F2CEE">
        <w:t>Patienterne</w:t>
      </w:r>
      <w:proofErr w:type="spellEnd"/>
      <w:r w:rsidRPr="003F2CEE">
        <w:t xml:space="preserve"> </w:t>
      </w:r>
      <w:proofErr w:type="spellStart"/>
      <w:r w:rsidRPr="003F2CEE">
        <w:t>bør</w:t>
      </w:r>
      <w:proofErr w:type="spellEnd"/>
      <w:r w:rsidRPr="003F2CEE">
        <w:t xml:space="preserve"> </w:t>
      </w:r>
      <w:proofErr w:type="spellStart"/>
      <w:r w:rsidRPr="003F2CEE">
        <w:t>informeres</w:t>
      </w:r>
      <w:proofErr w:type="spellEnd"/>
      <w:r w:rsidRPr="003F2CEE">
        <w:t xml:space="preserve"> </w:t>
      </w:r>
      <w:proofErr w:type="spellStart"/>
      <w:r w:rsidRPr="003F2CEE">
        <w:t>om</w:t>
      </w:r>
      <w:proofErr w:type="spellEnd"/>
      <w:r w:rsidRPr="003F2CEE">
        <w:t xml:space="preserve"> </w:t>
      </w:r>
      <w:proofErr w:type="spellStart"/>
      <w:r w:rsidRPr="003F2CEE">
        <w:t>tegn</w:t>
      </w:r>
      <w:proofErr w:type="spellEnd"/>
      <w:r w:rsidRPr="003F2CEE">
        <w:t xml:space="preserve"> </w:t>
      </w:r>
      <w:proofErr w:type="spellStart"/>
      <w:r w:rsidRPr="003F2CEE">
        <w:t>og</w:t>
      </w:r>
      <w:proofErr w:type="spellEnd"/>
      <w:r w:rsidRPr="003F2CEE">
        <w:t xml:space="preserve"> </w:t>
      </w:r>
      <w:proofErr w:type="spellStart"/>
      <w:r w:rsidRPr="003F2CEE">
        <w:t>symptomer</w:t>
      </w:r>
      <w:proofErr w:type="spellEnd"/>
      <w:r w:rsidRPr="003F2CEE">
        <w:t xml:space="preserve"> </w:t>
      </w:r>
      <w:proofErr w:type="spellStart"/>
      <w:r w:rsidRPr="003F2CEE">
        <w:t>på</w:t>
      </w:r>
      <w:proofErr w:type="spellEnd"/>
      <w:r w:rsidRPr="003F2CEE">
        <w:t xml:space="preserve"> </w:t>
      </w:r>
      <w:proofErr w:type="spellStart"/>
      <w:r w:rsidRPr="003F2CEE">
        <w:t>blødning</w:t>
      </w:r>
      <w:proofErr w:type="spellEnd"/>
      <w:r w:rsidRPr="003F2CEE">
        <w:t xml:space="preserve"> </w:t>
      </w:r>
      <w:proofErr w:type="spellStart"/>
      <w:r w:rsidRPr="003F2CEE">
        <w:t>og</w:t>
      </w:r>
      <w:proofErr w:type="spellEnd"/>
      <w:r w:rsidRPr="003F2CEE">
        <w:t xml:space="preserve"> </w:t>
      </w:r>
      <w:proofErr w:type="spellStart"/>
      <w:r w:rsidRPr="003F2CEE">
        <w:t>om</w:t>
      </w:r>
      <w:proofErr w:type="spellEnd"/>
      <w:r w:rsidRPr="003F2CEE">
        <w:t xml:space="preserve"> </w:t>
      </w:r>
      <w:proofErr w:type="spellStart"/>
      <w:r w:rsidRPr="003F2CEE">
        <w:t>omstændigheder</w:t>
      </w:r>
      <w:proofErr w:type="spellEnd"/>
      <w:r w:rsidRPr="003F2CEE">
        <w:t xml:space="preserve">, </w:t>
      </w:r>
      <w:proofErr w:type="spellStart"/>
      <w:r w:rsidRPr="003F2CEE">
        <w:t>hvor</w:t>
      </w:r>
      <w:proofErr w:type="spellEnd"/>
      <w:r w:rsidRPr="003F2CEE">
        <w:t xml:space="preserve"> de </w:t>
      </w:r>
      <w:proofErr w:type="spellStart"/>
      <w:r w:rsidRPr="003F2CEE">
        <w:t>skal</w:t>
      </w:r>
      <w:proofErr w:type="spellEnd"/>
      <w:r w:rsidRPr="003F2CEE">
        <w:t xml:space="preserve"> </w:t>
      </w:r>
      <w:proofErr w:type="spellStart"/>
      <w:r w:rsidRPr="003F2CEE">
        <w:t>søge</w:t>
      </w:r>
      <w:proofErr w:type="spellEnd"/>
      <w:r w:rsidRPr="003F2CEE">
        <w:t xml:space="preserve"> </w:t>
      </w:r>
      <w:proofErr w:type="spellStart"/>
      <w:r w:rsidRPr="003F2CEE">
        <w:t>lægehjælp</w:t>
      </w:r>
      <w:proofErr w:type="spellEnd"/>
      <w:r w:rsidRPr="003F2CEE">
        <w:t>.</w:t>
      </w:r>
    </w:p>
    <w:p w14:paraId="0C0476DA" w14:textId="77777777" w:rsidR="00997212" w:rsidRDefault="00997212" w:rsidP="006D3808">
      <w:bookmarkStart w:id="14" w:name="_Toc137055948"/>
    </w:p>
    <w:p w14:paraId="5A14AD5C" w14:textId="0589A17A" w:rsidR="00997212" w:rsidRPr="00997212" w:rsidRDefault="00997212" w:rsidP="0099721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5" w:name="_Toc161921303"/>
      <w:proofErr w:type="spellStart"/>
      <w:r w:rsidRPr="0099721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Indberetning</w:t>
      </w:r>
      <w:proofErr w:type="spellEnd"/>
      <w:r w:rsidRPr="0099721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proofErr w:type="spellStart"/>
      <w:r w:rsidRPr="0099721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af</w:t>
      </w:r>
      <w:proofErr w:type="spellEnd"/>
      <w:r w:rsidRPr="0099721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proofErr w:type="spellStart"/>
      <w:r w:rsidRPr="0099721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bivirkninger</w:t>
      </w:r>
      <w:bookmarkEnd w:id="14"/>
      <w:bookmarkEnd w:id="15"/>
      <w:proofErr w:type="spellEnd"/>
    </w:p>
    <w:p w14:paraId="66536CBF" w14:textId="63DAC144" w:rsidR="00997212" w:rsidRDefault="00997212" w:rsidP="003F2CEE">
      <w:proofErr w:type="spellStart"/>
      <w:r w:rsidRPr="00997212">
        <w:t>Indberetning</w:t>
      </w:r>
      <w:proofErr w:type="spellEnd"/>
      <w:r w:rsidRPr="00997212">
        <w:t xml:space="preserve"> </w:t>
      </w:r>
      <w:proofErr w:type="spellStart"/>
      <w:r w:rsidRPr="00997212">
        <w:t>af</w:t>
      </w:r>
      <w:proofErr w:type="spellEnd"/>
      <w:r w:rsidRPr="00997212">
        <w:t xml:space="preserve"> </w:t>
      </w:r>
      <w:proofErr w:type="spellStart"/>
      <w:r w:rsidRPr="00997212">
        <w:t>formodede</w:t>
      </w:r>
      <w:proofErr w:type="spellEnd"/>
      <w:r w:rsidRPr="00997212">
        <w:t xml:space="preserve"> </w:t>
      </w:r>
      <w:proofErr w:type="spellStart"/>
      <w:r w:rsidRPr="00997212">
        <w:t>bivirkninger</w:t>
      </w:r>
      <w:proofErr w:type="spellEnd"/>
      <w:r w:rsidRPr="00997212">
        <w:t xml:space="preserve"> </w:t>
      </w:r>
      <w:proofErr w:type="spellStart"/>
      <w:r w:rsidRPr="00997212">
        <w:t>efter</w:t>
      </w:r>
      <w:proofErr w:type="spellEnd"/>
      <w:r w:rsidRPr="00997212">
        <w:t xml:space="preserve"> </w:t>
      </w:r>
      <w:proofErr w:type="spellStart"/>
      <w:r w:rsidRPr="00997212">
        <w:t>godkendelse</w:t>
      </w:r>
      <w:proofErr w:type="spellEnd"/>
      <w:r w:rsidRPr="00997212">
        <w:t xml:space="preserve"> er </w:t>
      </w:r>
      <w:proofErr w:type="spellStart"/>
      <w:r w:rsidRPr="00997212">
        <w:t>af</w:t>
      </w:r>
      <w:proofErr w:type="spellEnd"/>
      <w:r w:rsidRPr="00997212">
        <w:t xml:space="preserve"> </w:t>
      </w:r>
      <w:proofErr w:type="spellStart"/>
      <w:r w:rsidRPr="00997212">
        <w:t>stor</w:t>
      </w:r>
      <w:proofErr w:type="spellEnd"/>
      <w:r w:rsidRPr="00997212">
        <w:t xml:space="preserve"> </w:t>
      </w:r>
      <w:proofErr w:type="spellStart"/>
      <w:r w:rsidRPr="00997212">
        <w:t>betydning</w:t>
      </w:r>
      <w:proofErr w:type="spellEnd"/>
      <w:r w:rsidRPr="00997212">
        <w:t xml:space="preserve">. </w:t>
      </w:r>
      <w:proofErr w:type="spellStart"/>
      <w:r w:rsidRPr="00997212">
        <w:t>Det</w:t>
      </w:r>
      <w:proofErr w:type="spellEnd"/>
      <w:r w:rsidRPr="00997212">
        <w:t xml:space="preserve"> </w:t>
      </w:r>
      <w:proofErr w:type="spellStart"/>
      <w:r w:rsidRPr="00997212">
        <w:t>muliggør</w:t>
      </w:r>
      <w:proofErr w:type="spellEnd"/>
      <w:r w:rsidRPr="00997212">
        <w:t xml:space="preserve"> </w:t>
      </w:r>
      <w:proofErr w:type="spellStart"/>
      <w:r w:rsidRPr="00997212">
        <w:t>løbende</w:t>
      </w:r>
      <w:proofErr w:type="spellEnd"/>
      <w:r w:rsidRPr="00997212">
        <w:t xml:space="preserve"> </w:t>
      </w:r>
      <w:proofErr w:type="spellStart"/>
      <w:r w:rsidRPr="00997212">
        <w:t>overvågning</w:t>
      </w:r>
      <w:proofErr w:type="spellEnd"/>
      <w:r w:rsidRPr="00997212">
        <w:t xml:space="preserve"> </w:t>
      </w:r>
      <w:proofErr w:type="spellStart"/>
      <w:r w:rsidRPr="00997212">
        <w:t>af</w:t>
      </w:r>
      <w:proofErr w:type="spellEnd"/>
      <w:r w:rsidRPr="00997212">
        <w:t xml:space="preserve"> </w:t>
      </w:r>
      <w:proofErr w:type="spellStart"/>
      <w:r w:rsidRPr="00997212">
        <w:t>forholdet</w:t>
      </w:r>
      <w:proofErr w:type="spellEnd"/>
      <w:r w:rsidRPr="00997212">
        <w:t xml:space="preserve"> </w:t>
      </w:r>
      <w:proofErr w:type="spellStart"/>
      <w:r w:rsidRPr="00997212">
        <w:t>mellem</w:t>
      </w:r>
      <w:proofErr w:type="spellEnd"/>
      <w:r w:rsidRPr="00997212">
        <w:t xml:space="preserve"> </w:t>
      </w:r>
      <w:proofErr w:type="spellStart"/>
      <w:r w:rsidRPr="00997212">
        <w:t>fordele</w:t>
      </w:r>
      <w:proofErr w:type="spellEnd"/>
      <w:r w:rsidRPr="00997212">
        <w:t xml:space="preserve"> </w:t>
      </w:r>
      <w:proofErr w:type="spellStart"/>
      <w:r w:rsidRPr="00997212">
        <w:t>og</w:t>
      </w:r>
      <w:proofErr w:type="spellEnd"/>
      <w:r w:rsidRPr="00997212">
        <w:t xml:space="preserve"> </w:t>
      </w:r>
      <w:proofErr w:type="spellStart"/>
      <w:r w:rsidRPr="00997212">
        <w:t>risici</w:t>
      </w:r>
      <w:proofErr w:type="spellEnd"/>
      <w:r w:rsidRPr="00997212">
        <w:t xml:space="preserve"> </w:t>
      </w:r>
      <w:proofErr w:type="spellStart"/>
      <w:r w:rsidRPr="00997212">
        <w:t>ved</w:t>
      </w:r>
      <w:proofErr w:type="spellEnd"/>
      <w:r w:rsidRPr="00997212">
        <w:t xml:space="preserve"> </w:t>
      </w:r>
      <w:proofErr w:type="spellStart"/>
      <w:r w:rsidRPr="00997212">
        <w:t>lægemidlet</w:t>
      </w:r>
      <w:proofErr w:type="spellEnd"/>
      <w:r w:rsidRPr="00997212">
        <w:t xml:space="preserve">. </w:t>
      </w:r>
      <w:proofErr w:type="spellStart"/>
      <w:r w:rsidRPr="00997212">
        <w:t>Sundhedspersonale</w:t>
      </w:r>
      <w:proofErr w:type="spellEnd"/>
      <w:r w:rsidRPr="00997212">
        <w:t xml:space="preserve"> </w:t>
      </w:r>
      <w:proofErr w:type="spellStart"/>
      <w:r w:rsidRPr="00997212">
        <w:t>bedes</w:t>
      </w:r>
      <w:proofErr w:type="spellEnd"/>
      <w:r w:rsidRPr="00997212">
        <w:t xml:space="preserve"> </w:t>
      </w:r>
      <w:proofErr w:type="spellStart"/>
      <w:r w:rsidRPr="00997212">
        <w:t>indberette</w:t>
      </w:r>
      <w:proofErr w:type="spellEnd"/>
      <w:r w:rsidRPr="00997212">
        <w:t xml:space="preserve"> </w:t>
      </w:r>
      <w:proofErr w:type="spellStart"/>
      <w:r w:rsidRPr="00997212">
        <w:t>enhver</w:t>
      </w:r>
      <w:proofErr w:type="spellEnd"/>
      <w:r w:rsidRPr="00997212">
        <w:t xml:space="preserve"> </w:t>
      </w:r>
      <w:proofErr w:type="spellStart"/>
      <w:r w:rsidRPr="00997212">
        <w:t>mistanke</w:t>
      </w:r>
      <w:proofErr w:type="spellEnd"/>
      <w:r w:rsidRPr="00997212">
        <w:t xml:space="preserve"> </w:t>
      </w:r>
      <w:proofErr w:type="spellStart"/>
      <w:r w:rsidRPr="00997212">
        <w:t>om</w:t>
      </w:r>
      <w:proofErr w:type="spellEnd"/>
      <w:r w:rsidRPr="00997212">
        <w:t xml:space="preserve"> en </w:t>
      </w:r>
      <w:proofErr w:type="spellStart"/>
      <w:r w:rsidRPr="00997212">
        <w:t>bivirkning</w:t>
      </w:r>
      <w:proofErr w:type="spellEnd"/>
      <w:r w:rsidRPr="00997212">
        <w:t xml:space="preserve"> </w:t>
      </w:r>
      <w:proofErr w:type="spellStart"/>
      <w:r w:rsidR="00716E57" w:rsidRPr="00716E57">
        <w:t>på</w:t>
      </w:r>
      <w:proofErr w:type="spellEnd"/>
      <w:r w:rsidR="00716E57" w:rsidRPr="00716E57">
        <w:t xml:space="preserve"> </w:t>
      </w:r>
      <w:proofErr w:type="spellStart"/>
      <w:r w:rsidR="00716E57" w:rsidRPr="00716E57">
        <w:t>lægemiddelstyrelsens</w:t>
      </w:r>
      <w:proofErr w:type="spellEnd"/>
      <w:r w:rsidR="00716E57" w:rsidRPr="00716E57">
        <w:t xml:space="preserve"> </w:t>
      </w:r>
      <w:proofErr w:type="spellStart"/>
      <w:r w:rsidR="00716E57" w:rsidRPr="00716E57">
        <w:t>hjemmeside</w:t>
      </w:r>
      <w:proofErr w:type="spellEnd"/>
      <w:r w:rsidR="00716E57" w:rsidRPr="00716E57">
        <w:t xml:space="preserve"> https://blanket.meldenbivirkning.dk/.</w:t>
      </w:r>
      <w:r w:rsidR="00716E57">
        <w:t xml:space="preserve">  </w:t>
      </w:r>
    </w:p>
    <w:p w14:paraId="676544D5" w14:textId="77777777" w:rsidR="00997212" w:rsidRDefault="0099721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87CA120" w14:textId="369842A2" w:rsidR="0076189B" w:rsidRPr="0076189B" w:rsidRDefault="009A216D" w:rsidP="006D3808">
      <w:pPr>
        <w:pStyle w:val="Overskrift1"/>
      </w:pPr>
      <w:bookmarkStart w:id="16" w:name="_Toc161921304"/>
      <w:proofErr w:type="spellStart"/>
      <w:r>
        <w:lastRenderedPageBreak/>
        <w:t>Referencer</w:t>
      </w:r>
      <w:bookmarkEnd w:id="16"/>
      <w:proofErr w:type="spellEnd"/>
    </w:p>
    <w:p w14:paraId="17341733" w14:textId="530F18DA" w:rsidR="003F2CEE" w:rsidRPr="003F2CEE" w:rsidRDefault="003F2CEE" w:rsidP="003F2CEE">
      <w:r w:rsidRPr="003F2CEE">
        <w:t xml:space="preserve">1. </w:t>
      </w:r>
      <w:proofErr w:type="spellStart"/>
      <w:r w:rsidRPr="003F2CEE">
        <w:t>Dabigatranetexilat</w:t>
      </w:r>
      <w:proofErr w:type="spellEnd"/>
      <w:r w:rsidRPr="003F2CEE">
        <w:t xml:space="preserve"> </w:t>
      </w:r>
      <w:proofErr w:type="spellStart"/>
      <w:r w:rsidRPr="003F2CEE">
        <w:t>produktresumé</w:t>
      </w:r>
      <w:proofErr w:type="spellEnd"/>
    </w:p>
    <w:p w14:paraId="446AC669" w14:textId="171A9EF3" w:rsidR="003F2CEE" w:rsidRPr="003F2CEE" w:rsidRDefault="003F2CEE" w:rsidP="003F2CEE">
      <w:pPr>
        <w:rPr>
          <w:lang w:val="en-US"/>
        </w:rPr>
      </w:pPr>
      <w:r w:rsidRPr="00933A62">
        <w:t xml:space="preserve">2. van </w:t>
      </w:r>
      <w:proofErr w:type="spellStart"/>
      <w:r w:rsidRPr="00933A62">
        <w:t>Ryn</w:t>
      </w:r>
      <w:proofErr w:type="spellEnd"/>
      <w:r w:rsidRPr="00933A62">
        <w:t xml:space="preserve"> J et al. </w:t>
      </w:r>
      <w:proofErr w:type="spellStart"/>
      <w:r w:rsidRPr="00933A62">
        <w:t>Tromb</w:t>
      </w:r>
      <w:proofErr w:type="spellEnd"/>
      <w:r w:rsidRPr="00933A62">
        <w:t xml:space="preserve"> </w:t>
      </w:r>
      <w:proofErr w:type="spellStart"/>
      <w:r w:rsidRPr="00933A62">
        <w:t>Haemost</w:t>
      </w:r>
      <w:proofErr w:type="spellEnd"/>
      <w:r w:rsidRPr="00933A62">
        <w:t xml:space="preserve"> 2010; 103: 1116–1127</w:t>
      </w:r>
    </w:p>
    <w:p w14:paraId="4F4A7D8A" w14:textId="7428DCC9" w:rsidR="003F2CEE" w:rsidRPr="003F2CEE" w:rsidRDefault="003F2CEE" w:rsidP="003F2CEE">
      <w:pPr>
        <w:rPr>
          <w:lang w:val="en-US"/>
        </w:rPr>
      </w:pPr>
      <w:r w:rsidRPr="003F2CEE">
        <w:t xml:space="preserve">3. Liesenfeld KH et al. Br J </w:t>
      </w:r>
      <w:proofErr w:type="spellStart"/>
      <w:r w:rsidRPr="003F2CEE">
        <w:t>Clin</w:t>
      </w:r>
      <w:proofErr w:type="spellEnd"/>
      <w:r w:rsidRPr="003F2CEE">
        <w:t xml:space="preserve"> </w:t>
      </w:r>
      <w:proofErr w:type="spellStart"/>
      <w:r w:rsidRPr="003F2CEE">
        <w:t>Pharmacol</w:t>
      </w:r>
      <w:proofErr w:type="spellEnd"/>
      <w:r w:rsidRPr="003F2CEE">
        <w:t xml:space="preserve"> 2006; 62: 527–537</w:t>
      </w:r>
    </w:p>
    <w:p w14:paraId="77BEF756" w14:textId="5EC9CA45" w:rsidR="003F2CEE" w:rsidRPr="00972C87" w:rsidRDefault="003F2CEE" w:rsidP="003F2CEE">
      <w:pPr>
        <w:rPr>
          <w:lang w:val="da-DK"/>
        </w:rPr>
      </w:pPr>
      <w:r w:rsidRPr="003F2CEE">
        <w:t xml:space="preserve">4. Stangier J et al. Br J </w:t>
      </w:r>
      <w:proofErr w:type="spellStart"/>
      <w:r w:rsidRPr="003F2CEE">
        <w:t>Clin</w:t>
      </w:r>
      <w:proofErr w:type="spellEnd"/>
      <w:r w:rsidRPr="003F2CEE">
        <w:t xml:space="preserve"> </w:t>
      </w:r>
      <w:proofErr w:type="spellStart"/>
      <w:r w:rsidRPr="003F2CEE">
        <w:t>Pharmacol</w:t>
      </w:r>
      <w:proofErr w:type="spellEnd"/>
      <w:r w:rsidRPr="003F2CEE">
        <w:t xml:space="preserve"> 2007; 64: 292–303</w:t>
      </w:r>
    </w:p>
    <w:p w14:paraId="7423A722" w14:textId="7C764285" w:rsidR="003F2CEE" w:rsidRPr="00DA140C" w:rsidRDefault="003F2CEE" w:rsidP="003F2CEE">
      <w:pPr>
        <w:rPr>
          <w:lang w:val="en-US"/>
        </w:rPr>
      </w:pPr>
      <w:r w:rsidRPr="003F2CEE">
        <w:t xml:space="preserve">5. </w:t>
      </w:r>
      <w:proofErr w:type="spellStart"/>
      <w:r w:rsidRPr="003F2CEE">
        <w:t>Hæmoclottrombinhæmmeranalyse</w:t>
      </w:r>
      <w:proofErr w:type="spellEnd"/>
      <w:r w:rsidRPr="003F2CEE">
        <w:t xml:space="preserve"> (Hyphen </w:t>
      </w:r>
      <w:proofErr w:type="spellStart"/>
      <w:r w:rsidRPr="003F2CEE">
        <w:t>BioMed</w:t>
      </w:r>
      <w:proofErr w:type="spellEnd"/>
      <w:r w:rsidRPr="003F2CEE">
        <w:t>, Neuville-</w:t>
      </w:r>
      <w:proofErr w:type="spellStart"/>
      <w:r w:rsidRPr="003F2CEE">
        <w:t>sur</w:t>
      </w:r>
      <w:proofErr w:type="spellEnd"/>
      <w:r w:rsidRPr="003F2CEE">
        <w:t xml:space="preserve">-Oise, </w:t>
      </w:r>
      <w:proofErr w:type="spellStart"/>
      <w:r w:rsidRPr="003F2CEE">
        <w:t>Frankrig</w:t>
      </w:r>
      <w:proofErr w:type="spellEnd"/>
      <w:r w:rsidRPr="003F2CEE">
        <w:t>). www.clottingtesting.com/ www.coachrom.com</w:t>
      </w:r>
    </w:p>
    <w:p w14:paraId="16CFBE29" w14:textId="5FE2DC61" w:rsidR="003F2CEE" w:rsidRPr="003F2CEE" w:rsidRDefault="003F2CEE" w:rsidP="003F2CEE">
      <w:pPr>
        <w:rPr>
          <w:lang w:val="en-US"/>
        </w:rPr>
      </w:pPr>
      <w:r w:rsidRPr="003F2CEE">
        <w:t xml:space="preserve">6. </w:t>
      </w:r>
      <w:proofErr w:type="spellStart"/>
      <w:r w:rsidRPr="003F2CEE">
        <w:t>HemosIL</w:t>
      </w:r>
      <w:proofErr w:type="spellEnd"/>
      <w:r w:rsidRPr="003F2CEE">
        <w:t xml:space="preserve"> </w:t>
      </w:r>
      <w:proofErr w:type="spellStart"/>
      <w:r w:rsidRPr="003F2CEE">
        <w:t>assay</w:t>
      </w:r>
      <w:proofErr w:type="spellEnd"/>
      <w:r w:rsidRPr="003F2CEE">
        <w:t xml:space="preserve"> (</w:t>
      </w:r>
      <w:proofErr w:type="spellStart"/>
      <w:r w:rsidRPr="003F2CEE">
        <w:t>Instumentation</w:t>
      </w:r>
      <w:proofErr w:type="spellEnd"/>
      <w:r w:rsidRPr="003F2CEE">
        <w:t xml:space="preserve"> Laboratory, Werfen Group, Barcelona, Spanien). www.instrumentationlaboratory.com</w:t>
      </w:r>
    </w:p>
    <w:p w14:paraId="3ABEF9A5" w14:textId="1D2D5D04" w:rsidR="003F2CEE" w:rsidRPr="003F2CEE" w:rsidRDefault="003F2CEE" w:rsidP="003F2CEE">
      <w:pPr>
        <w:rPr>
          <w:lang w:val="en-US"/>
        </w:rPr>
      </w:pPr>
      <w:r w:rsidRPr="003F2CEE">
        <w:t xml:space="preserve">7. </w:t>
      </w:r>
      <w:proofErr w:type="spellStart"/>
      <w:r w:rsidRPr="003F2CEE">
        <w:t>Technoclot</w:t>
      </w:r>
      <w:proofErr w:type="spellEnd"/>
      <w:r w:rsidRPr="003F2CEE">
        <w:t xml:space="preserve"> DTI Dabigatran-analyse (</w:t>
      </w:r>
      <w:proofErr w:type="spellStart"/>
      <w:r w:rsidRPr="003F2CEE">
        <w:t>Technoclone</w:t>
      </w:r>
      <w:proofErr w:type="spellEnd"/>
      <w:r w:rsidRPr="003F2CEE">
        <w:t xml:space="preserve"> GmbH, Wien, </w:t>
      </w:r>
      <w:proofErr w:type="spellStart"/>
      <w:r w:rsidRPr="003F2CEE">
        <w:t>Østrig</w:t>
      </w:r>
      <w:proofErr w:type="spellEnd"/>
      <w:r w:rsidRPr="003F2CEE">
        <w:t xml:space="preserve">). http://www.technoclone.com/products/ </w:t>
      </w:r>
      <w:proofErr w:type="spellStart"/>
      <w:r w:rsidRPr="003F2CEE">
        <w:t>koagulation</w:t>
      </w:r>
      <w:proofErr w:type="spellEnd"/>
      <w:r w:rsidRPr="003F2CEE">
        <w:t>/</w:t>
      </w:r>
      <w:proofErr w:type="spellStart"/>
      <w:r w:rsidRPr="003F2CEE">
        <w:t>kontrol</w:t>
      </w:r>
      <w:proofErr w:type="spellEnd"/>
      <w:r w:rsidRPr="003F2CEE">
        <w:t>-plasma/</w:t>
      </w:r>
      <w:proofErr w:type="spellStart"/>
      <w:r w:rsidRPr="003F2CEE">
        <w:t>dabigatran-cont</w:t>
      </w:r>
      <w:proofErr w:type="spellEnd"/>
    </w:p>
    <w:p w14:paraId="4B7C051C" w14:textId="70562BE1" w:rsidR="003F2CEE" w:rsidRPr="003F2CEE" w:rsidRDefault="003F2CEE" w:rsidP="003F2CEE">
      <w:pPr>
        <w:rPr>
          <w:lang w:val="en-US"/>
        </w:rPr>
      </w:pPr>
      <w:r w:rsidRPr="003F2CEE">
        <w:t xml:space="preserve">8. INNOVANCE DTI Assay (Siemens </w:t>
      </w:r>
      <w:proofErr w:type="spellStart"/>
      <w:r w:rsidRPr="003F2CEE">
        <w:t>Healthineers</w:t>
      </w:r>
      <w:proofErr w:type="spellEnd"/>
      <w:r w:rsidRPr="003F2CEE">
        <w:t xml:space="preserve"> GmbH, Erlangen, </w:t>
      </w:r>
      <w:proofErr w:type="spellStart"/>
      <w:r w:rsidRPr="003F2CEE">
        <w:t>Tyskland</w:t>
      </w:r>
      <w:proofErr w:type="spellEnd"/>
      <w:r w:rsidRPr="003F2CEE">
        <w:t xml:space="preserve">). https://www.healthcare.siemens.com/ </w:t>
      </w:r>
      <w:proofErr w:type="spellStart"/>
      <w:r w:rsidRPr="003F2CEE">
        <w:t>hæmostase</w:t>
      </w:r>
      <w:proofErr w:type="spellEnd"/>
    </w:p>
    <w:p w14:paraId="2CF7E420" w14:textId="1908A35B" w:rsidR="003F2CEE" w:rsidRPr="00972C87" w:rsidRDefault="003F2CEE" w:rsidP="003F2CEE">
      <w:pPr>
        <w:rPr>
          <w:lang w:val="da-DK"/>
        </w:rPr>
      </w:pPr>
      <w:r w:rsidRPr="003F2CEE">
        <w:t>9. Pollack C et al. NEJM 2015; 373: 511–20</w:t>
      </w:r>
    </w:p>
    <w:p w14:paraId="787AEFC2" w14:textId="6DCEA3CC" w:rsidR="003F2CEE" w:rsidRPr="00972C87" w:rsidRDefault="003F2CEE" w:rsidP="003F2CEE">
      <w:pPr>
        <w:rPr>
          <w:lang w:val="da-DK"/>
        </w:rPr>
      </w:pPr>
    </w:p>
    <w:p w14:paraId="2B6EA9A8" w14:textId="4F6F5A7C" w:rsidR="000C245B" w:rsidRPr="00972C87" w:rsidRDefault="000C245B" w:rsidP="003F2CEE">
      <w:pPr>
        <w:rPr>
          <w:lang w:val="da-DK"/>
        </w:rPr>
      </w:pPr>
    </w:p>
    <w:p w14:paraId="7DEF39AF" w14:textId="585E26B6" w:rsidR="000C245B" w:rsidRPr="000C245B" w:rsidRDefault="000C245B" w:rsidP="003F2CEE">
      <w:pPr>
        <w:rPr>
          <w:rFonts w:cstheme="minorHAnsi"/>
          <w:b/>
          <w:bCs/>
          <w:spacing w:val="-2"/>
          <w:w w:val="95"/>
          <w:sz w:val="28"/>
          <w:szCs w:val="28"/>
        </w:rPr>
      </w:pPr>
      <w:proofErr w:type="spellStart"/>
      <w:r w:rsidRPr="000C245B">
        <w:rPr>
          <w:rFonts w:cstheme="minorHAnsi"/>
          <w:b/>
          <w:bCs/>
          <w:spacing w:val="-2"/>
          <w:w w:val="95"/>
          <w:sz w:val="28"/>
          <w:szCs w:val="28"/>
        </w:rPr>
        <w:t>Noter</w:t>
      </w:r>
      <w:proofErr w:type="spellEnd"/>
    </w:p>
    <w:p w14:paraId="2392424C" w14:textId="77777777" w:rsidR="000C245B" w:rsidRPr="00933A62" w:rsidRDefault="000C245B" w:rsidP="003F2CEE"/>
    <w:p w14:paraId="2E77BDB9" w14:textId="42B640D7" w:rsidR="000C245B" w:rsidRPr="00933A62" w:rsidRDefault="000C245B" w:rsidP="003F2CEE"/>
    <w:p w14:paraId="420600F9" w14:textId="4A824488" w:rsidR="000C245B" w:rsidRPr="0022558B" w:rsidRDefault="00B1027A" w:rsidP="00B37229">
      <w:pPr>
        <w:pStyle w:val="Brdtekst"/>
        <w:spacing w:before="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7"/>
        </w:rPr>
        <w:t xml:space="preserve">Kontakt </w:t>
      </w:r>
      <w:proofErr w:type="spellStart"/>
      <w:r>
        <w:rPr>
          <w:rFonts w:asciiTheme="minorHAnsi" w:hAnsiTheme="minorHAnsi" w:cstheme="minorHAnsi"/>
          <w:spacing w:val="-7"/>
        </w:rPr>
        <w:t>lægemiddelvirksomheden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for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yderligere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oplysninger</w:t>
      </w:r>
      <w:proofErr w:type="spellEnd"/>
      <w:r>
        <w:rPr>
          <w:rFonts w:asciiTheme="minorHAnsi" w:hAnsiTheme="minorHAnsi" w:cstheme="minorHAnsi"/>
          <w:spacing w:val="-7"/>
        </w:rPr>
        <w:t xml:space="preserve"> (se </w:t>
      </w:r>
      <w:proofErr w:type="spellStart"/>
      <w:r>
        <w:rPr>
          <w:rFonts w:asciiTheme="minorHAnsi" w:hAnsiTheme="minorHAnsi" w:cstheme="minorHAnsi"/>
          <w:spacing w:val="-7"/>
        </w:rPr>
        <w:t>produktresuméet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og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indlægssedlen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for</w:t>
      </w:r>
      <w:proofErr w:type="spellEnd"/>
      <w:r>
        <w:rPr>
          <w:rFonts w:asciiTheme="minorHAnsi" w:hAnsiTheme="minorHAnsi" w:cstheme="minorHAnsi"/>
          <w:spacing w:val="-7"/>
        </w:rPr>
        <w:t xml:space="preserve"> </w:t>
      </w:r>
      <w:proofErr w:type="spellStart"/>
      <w:r>
        <w:rPr>
          <w:rFonts w:asciiTheme="minorHAnsi" w:hAnsiTheme="minorHAnsi" w:cstheme="minorHAnsi"/>
          <w:spacing w:val="-7"/>
        </w:rPr>
        <w:t>kontaktoplysninger</w:t>
      </w:r>
      <w:proofErr w:type="spellEnd"/>
      <w:r>
        <w:rPr>
          <w:rFonts w:asciiTheme="minorHAnsi" w:hAnsiTheme="minorHAnsi" w:cstheme="minorHAnsi"/>
          <w:spacing w:val="-7"/>
        </w:rPr>
        <w:t>).</w:t>
      </w:r>
    </w:p>
    <w:p w14:paraId="59CC6AF4" w14:textId="77777777" w:rsidR="000C245B" w:rsidRDefault="000C245B" w:rsidP="000C245B">
      <w:pPr>
        <w:spacing w:before="210"/>
        <w:ind w:left="108"/>
        <w:rPr>
          <w:rFonts w:cstheme="minorHAnsi"/>
          <w:spacing w:val="-4"/>
          <w:sz w:val="18"/>
        </w:rPr>
      </w:pPr>
    </w:p>
    <w:p w14:paraId="570DF422" w14:textId="7F24D602" w:rsidR="000C245B" w:rsidRDefault="000C245B" w:rsidP="000C245B">
      <w:pPr>
        <w:spacing w:before="210"/>
        <w:ind w:left="108"/>
        <w:rPr>
          <w:rFonts w:cstheme="minorHAnsi"/>
          <w:spacing w:val="-4"/>
          <w:sz w:val="18"/>
        </w:rPr>
      </w:pPr>
    </w:p>
    <w:p w14:paraId="45560978" w14:textId="5B78F79A" w:rsidR="000C245B" w:rsidRPr="00B37229" w:rsidRDefault="000C245B" w:rsidP="00B37229">
      <w:pPr>
        <w:spacing w:before="210"/>
        <w:rPr>
          <w:rFonts w:cstheme="minorHAnsi"/>
          <w:sz w:val="18"/>
        </w:rPr>
      </w:pPr>
      <w:proofErr w:type="spellStart"/>
      <w:r w:rsidRPr="0022558B">
        <w:rPr>
          <w:rFonts w:cstheme="minorHAnsi"/>
          <w:spacing w:val="-4"/>
          <w:sz w:val="18"/>
        </w:rPr>
        <w:t>Senest</w:t>
      </w:r>
      <w:proofErr w:type="spellEnd"/>
      <w:r w:rsidRPr="0022558B">
        <w:rPr>
          <w:rFonts w:cstheme="minorHAnsi"/>
          <w:spacing w:val="-4"/>
          <w:sz w:val="18"/>
        </w:rPr>
        <w:t xml:space="preserve"> </w:t>
      </w:r>
      <w:proofErr w:type="spellStart"/>
      <w:r w:rsidRPr="0022558B">
        <w:rPr>
          <w:rFonts w:cstheme="minorHAnsi"/>
          <w:spacing w:val="-4"/>
          <w:sz w:val="18"/>
        </w:rPr>
        <w:t>opdateret</w:t>
      </w:r>
      <w:proofErr w:type="spellEnd"/>
      <w:r w:rsidRPr="0022558B">
        <w:rPr>
          <w:rFonts w:cstheme="minorHAnsi"/>
          <w:spacing w:val="-4"/>
          <w:sz w:val="18"/>
        </w:rPr>
        <w:t xml:space="preserve">: </w:t>
      </w:r>
      <w:proofErr w:type="spellStart"/>
      <w:r w:rsidRPr="0022558B">
        <w:rPr>
          <w:rFonts w:cstheme="minorHAnsi"/>
          <w:spacing w:val="-4"/>
          <w:sz w:val="18"/>
        </w:rPr>
        <w:t>juli</w:t>
      </w:r>
      <w:proofErr w:type="spellEnd"/>
      <w:r w:rsidRPr="0022558B">
        <w:rPr>
          <w:rFonts w:cstheme="minorHAnsi"/>
          <w:spacing w:val="-4"/>
          <w:sz w:val="18"/>
        </w:rPr>
        <w:t xml:space="preserve"> 2023</w:t>
      </w:r>
    </w:p>
    <w:sectPr w:rsidR="000C245B" w:rsidRPr="00B372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2A64" w14:textId="77777777" w:rsidR="0042329D" w:rsidRDefault="0042329D" w:rsidP="003F3FA9">
      <w:pPr>
        <w:spacing w:after="0" w:line="240" w:lineRule="auto"/>
      </w:pPr>
      <w:r>
        <w:separator/>
      </w:r>
    </w:p>
  </w:endnote>
  <w:endnote w:type="continuationSeparator" w:id="0">
    <w:p w14:paraId="27455454" w14:textId="77777777" w:rsidR="0042329D" w:rsidRDefault="0042329D" w:rsidP="003F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4466" w14:textId="77777777" w:rsidR="0042329D" w:rsidRDefault="0042329D" w:rsidP="003F3FA9">
      <w:pPr>
        <w:spacing w:after="0" w:line="240" w:lineRule="auto"/>
      </w:pPr>
      <w:r>
        <w:separator/>
      </w:r>
    </w:p>
  </w:footnote>
  <w:footnote w:type="continuationSeparator" w:id="0">
    <w:p w14:paraId="765B285C" w14:textId="77777777" w:rsidR="0042329D" w:rsidRDefault="0042329D" w:rsidP="003F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A3C74"/>
    <w:multiLevelType w:val="hybridMultilevel"/>
    <w:tmpl w:val="FB00DD78"/>
    <w:lvl w:ilvl="0" w:tplc="EBFCB13C">
      <w:numFmt w:val="bullet"/>
      <w:lvlText w:val="•"/>
      <w:lvlJc w:val="left"/>
      <w:pPr>
        <w:ind w:left="278" w:hanging="171"/>
      </w:pPr>
      <w:rPr>
        <w:rFonts w:ascii="Trebuchet MS" w:eastAsia="Trebuchet MS" w:hAnsi="Trebuchet MS" w:cs="Trebuchet MS" w:hint="default"/>
        <w:w w:val="127"/>
        <w:lang w:val="de-DE" w:eastAsia="en-US" w:bidi="ar-SA"/>
      </w:rPr>
    </w:lvl>
    <w:lvl w:ilvl="1" w:tplc="CAB648FC">
      <w:numFmt w:val="bullet"/>
      <w:lvlText w:val="•"/>
      <w:lvlJc w:val="left"/>
      <w:pPr>
        <w:ind w:left="712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252A0"/>
        <w:w w:val="127"/>
        <w:sz w:val="24"/>
        <w:szCs w:val="24"/>
        <w:lang w:val="de-DE" w:eastAsia="en-US" w:bidi="ar-SA"/>
      </w:rPr>
    </w:lvl>
    <w:lvl w:ilvl="2" w:tplc="6EECDA30">
      <w:numFmt w:val="bullet"/>
      <w:lvlText w:val="•"/>
      <w:lvlJc w:val="left"/>
      <w:pPr>
        <w:ind w:left="1407" w:hanging="199"/>
      </w:pPr>
      <w:rPr>
        <w:rFonts w:hint="default"/>
        <w:lang w:val="de-DE" w:eastAsia="en-US" w:bidi="ar-SA"/>
      </w:rPr>
    </w:lvl>
    <w:lvl w:ilvl="3" w:tplc="1EB08612">
      <w:numFmt w:val="bullet"/>
      <w:lvlText w:val="•"/>
      <w:lvlJc w:val="left"/>
      <w:pPr>
        <w:ind w:left="2095" w:hanging="199"/>
      </w:pPr>
      <w:rPr>
        <w:rFonts w:hint="default"/>
        <w:lang w:val="de-DE" w:eastAsia="en-US" w:bidi="ar-SA"/>
      </w:rPr>
    </w:lvl>
    <w:lvl w:ilvl="4" w:tplc="D01E9C98">
      <w:numFmt w:val="bullet"/>
      <w:lvlText w:val="•"/>
      <w:lvlJc w:val="left"/>
      <w:pPr>
        <w:ind w:left="2783" w:hanging="199"/>
      </w:pPr>
      <w:rPr>
        <w:rFonts w:hint="default"/>
        <w:lang w:val="de-DE" w:eastAsia="en-US" w:bidi="ar-SA"/>
      </w:rPr>
    </w:lvl>
    <w:lvl w:ilvl="5" w:tplc="FF38B5F6">
      <w:numFmt w:val="bullet"/>
      <w:lvlText w:val="•"/>
      <w:lvlJc w:val="left"/>
      <w:pPr>
        <w:ind w:left="3471" w:hanging="199"/>
      </w:pPr>
      <w:rPr>
        <w:rFonts w:hint="default"/>
        <w:lang w:val="de-DE" w:eastAsia="en-US" w:bidi="ar-SA"/>
      </w:rPr>
    </w:lvl>
    <w:lvl w:ilvl="6" w:tplc="1DFC9640">
      <w:numFmt w:val="bullet"/>
      <w:lvlText w:val="•"/>
      <w:lvlJc w:val="left"/>
      <w:pPr>
        <w:ind w:left="4159" w:hanging="199"/>
      </w:pPr>
      <w:rPr>
        <w:rFonts w:hint="default"/>
        <w:lang w:val="de-DE" w:eastAsia="en-US" w:bidi="ar-SA"/>
      </w:rPr>
    </w:lvl>
    <w:lvl w:ilvl="7" w:tplc="C2B64546">
      <w:numFmt w:val="bullet"/>
      <w:lvlText w:val="•"/>
      <w:lvlJc w:val="left"/>
      <w:pPr>
        <w:ind w:left="4847" w:hanging="199"/>
      </w:pPr>
      <w:rPr>
        <w:rFonts w:hint="default"/>
        <w:lang w:val="de-DE" w:eastAsia="en-US" w:bidi="ar-SA"/>
      </w:rPr>
    </w:lvl>
    <w:lvl w:ilvl="8" w:tplc="040ED376">
      <w:numFmt w:val="bullet"/>
      <w:lvlText w:val="•"/>
      <w:lvlJc w:val="left"/>
      <w:pPr>
        <w:ind w:left="5534" w:hanging="199"/>
      </w:pPr>
      <w:rPr>
        <w:rFonts w:hint="default"/>
        <w:lang w:val="de-DE" w:eastAsia="en-US" w:bidi="ar-SA"/>
      </w:rPr>
    </w:lvl>
  </w:abstractNum>
  <w:abstractNum w:abstractNumId="1" w15:restartNumberingAfterBreak="0">
    <w:nsid w:val="6FC828F2"/>
    <w:multiLevelType w:val="hybridMultilevel"/>
    <w:tmpl w:val="F990C9C8"/>
    <w:lvl w:ilvl="0" w:tplc="72628770">
      <w:numFmt w:val="bullet"/>
      <w:lvlText w:val="•"/>
      <w:lvlJc w:val="left"/>
      <w:pPr>
        <w:ind w:left="310" w:hanging="2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252A0"/>
        <w:w w:val="127"/>
        <w:sz w:val="22"/>
        <w:szCs w:val="22"/>
        <w:lang w:val="de-DE" w:eastAsia="en-US" w:bidi="ar-SA"/>
      </w:rPr>
    </w:lvl>
    <w:lvl w:ilvl="1" w:tplc="6C06BA46">
      <w:numFmt w:val="bullet"/>
      <w:lvlText w:val="•"/>
      <w:lvlJc w:val="left"/>
      <w:pPr>
        <w:ind w:left="604" w:hanging="202"/>
      </w:pPr>
      <w:rPr>
        <w:rFonts w:hint="default"/>
        <w:lang w:val="de-DE" w:eastAsia="en-US" w:bidi="ar-SA"/>
      </w:rPr>
    </w:lvl>
    <w:lvl w:ilvl="2" w:tplc="91BC3E86">
      <w:numFmt w:val="bullet"/>
      <w:lvlText w:val="•"/>
      <w:lvlJc w:val="left"/>
      <w:pPr>
        <w:ind w:left="908" w:hanging="202"/>
      </w:pPr>
      <w:rPr>
        <w:rFonts w:hint="default"/>
        <w:lang w:val="de-DE" w:eastAsia="en-US" w:bidi="ar-SA"/>
      </w:rPr>
    </w:lvl>
    <w:lvl w:ilvl="3" w:tplc="2C681286">
      <w:numFmt w:val="bullet"/>
      <w:lvlText w:val="•"/>
      <w:lvlJc w:val="left"/>
      <w:pPr>
        <w:ind w:left="1212" w:hanging="202"/>
      </w:pPr>
      <w:rPr>
        <w:rFonts w:hint="default"/>
        <w:lang w:val="de-DE" w:eastAsia="en-US" w:bidi="ar-SA"/>
      </w:rPr>
    </w:lvl>
    <w:lvl w:ilvl="4" w:tplc="E4F071AE">
      <w:numFmt w:val="bullet"/>
      <w:lvlText w:val="•"/>
      <w:lvlJc w:val="left"/>
      <w:pPr>
        <w:ind w:left="1516" w:hanging="202"/>
      </w:pPr>
      <w:rPr>
        <w:rFonts w:hint="default"/>
        <w:lang w:val="de-DE" w:eastAsia="en-US" w:bidi="ar-SA"/>
      </w:rPr>
    </w:lvl>
    <w:lvl w:ilvl="5" w:tplc="B4606C80">
      <w:numFmt w:val="bullet"/>
      <w:lvlText w:val="•"/>
      <w:lvlJc w:val="left"/>
      <w:pPr>
        <w:ind w:left="1820" w:hanging="202"/>
      </w:pPr>
      <w:rPr>
        <w:rFonts w:hint="default"/>
        <w:lang w:val="de-DE" w:eastAsia="en-US" w:bidi="ar-SA"/>
      </w:rPr>
    </w:lvl>
    <w:lvl w:ilvl="6" w:tplc="F68C1302">
      <w:numFmt w:val="bullet"/>
      <w:lvlText w:val="•"/>
      <w:lvlJc w:val="left"/>
      <w:pPr>
        <w:ind w:left="2124" w:hanging="202"/>
      </w:pPr>
      <w:rPr>
        <w:rFonts w:hint="default"/>
        <w:lang w:val="de-DE" w:eastAsia="en-US" w:bidi="ar-SA"/>
      </w:rPr>
    </w:lvl>
    <w:lvl w:ilvl="7" w:tplc="A0E6188A">
      <w:numFmt w:val="bullet"/>
      <w:lvlText w:val="•"/>
      <w:lvlJc w:val="left"/>
      <w:pPr>
        <w:ind w:left="2428" w:hanging="202"/>
      </w:pPr>
      <w:rPr>
        <w:rFonts w:hint="default"/>
        <w:lang w:val="de-DE" w:eastAsia="en-US" w:bidi="ar-SA"/>
      </w:rPr>
    </w:lvl>
    <w:lvl w:ilvl="8" w:tplc="E04C6FF8">
      <w:numFmt w:val="bullet"/>
      <w:lvlText w:val="•"/>
      <w:lvlJc w:val="left"/>
      <w:pPr>
        <w:ind w:left="2732" w:hanging="202"/>
      </w:pPr>
      <w:rPr>
        <w:rFonts w:hint="default"/>
        <w:lang w:val="de-DE" w:eastAsia="en-US" w:bidi="ar-SA"/>
      </w:rPr>
    </w:lvl>
  </w:abstractNum>
  <w:num w:numId="1" w16cid:durableId="2087529737">
    <w:abstractNumId w:val="0"/>
  </w:num>
  <w:num w:numId="2" w16cid:durableId="103037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6E"/>
    <w:rsid w:val="00006F09"/>
    <w:rsid w:val="00016D50"/>
    <w:rsid w:val="00025F3D"/>
    <w:rsid w:val="000340BE"/>
    <w:rsid w:val="00057E51"/>
    <w:rsid w:val="000976E6"/>
    <w:rsid w:val="000A2D1A"/>
    <w:rsid w:val="000C245B"/>
    <w:rsid w:val="000D5AF5"/>
    <w:rsid w:val="000D7FBE"/>
    <w:rsid w:val="000E1F14"/>
    <w:rsid w:val="00115B35"/>
    <w:rsid w:val="00120745"/>
    <w:rsid w:val="001210D3"/>
    <w:rsid w:val="00136B0F"/>
    <w:rsid w:val="00166BD2"/>
    <w:rsid w:val="001747B7"/>
    <w:rsid w:val="00185D58"/>
    <w:rsid w:val="001A0947"/>
    <w:rsid w:val="001E02F2"/>
    <w:rsid w:val="001E3F55"/>
    <w:rsid w:val="001F37F5"/>
    <w:rsid w:val="001F6688"/>
    <w:rsid w:val="001F726A"/>
    <w:rsid w:val="0022559C"/>
    <w:rsid w:val="00231430"/>
    <w:rsid w:val="00255C1F"/>
    <w:rsid w:val="00260EC9"/>
    <w:rsid w:val="00265906"/>
    <w:rsid w:val="00281D95"/>
    <w:rsid w:val="002916C0"/>
    <w:rsid w:val="002B5BBF"/>
    <w:rsid w:val="002D12F7"/>
    <w:rsid w:val="002E2075"/>
    <w:rsid w:val="002E41E5"/>
    <w:rsid w:val="00301B06"/>
    <w:rsid w:val="00310D12"/>
    <w:rsid w:val="00325491"/>
    <w:rsid w:val="00364D56"/>
    <w:rsid w:val="00376F80"/>
    <w:rsid w:val="003D39F1"/>
    <w:rsid w:val="003E5220"/>
    <w:rsid w:val="003F2CEE"/>
    <w:rsid w:val="003F3FA9"/>
    <w:rsid w:val="003F659D"/>
    <w:rsid w:val="0042329D"/>
    <w:rsid w:val="004410F4"/>
    <w:rsid w:val="004567E9"/>
    <w:rsid w:val="004D641D"/>
    <w:rsid w:val="004D79DD"/>
    <w:rsid w:val="00513835"/>
    <w:rsid w:val="005201D1"/>
    <w:rsid w:val="005429A3"/>
    <w:rsid w:val="00552407"/>
    <w:rsid w:val="00565433"/>
    <w:rsid w:val="00566C3B"/>
    <w:rsid w:val="00570DE8"/>
    <w:rsid w:val="00576C14"/>
    <w:rsid w:val="005E5FA0"/>
    <w:rsid w:val="005F38C8"/>
    <w:rsid w:val="0060333D"/>
    <w:rsid w:val="00604580"/>
    <w:rsid w:val="00606B9C"/>
    <w:rsid w:val="00617499"/>
    <w:rsid w:val="00622194"/>
    <w:rsid w:val="00653B7D"/>
    <w:rsid w:val="00657EB2"/>
    <w:rsid w:val="00662337"/>
    <w:rsid w:val="00667F69"/>
    <w:rsid w:val="006708ED"/>
    <w:rsid w:val="00674EBC"/>
    <w:rsid w:val="00690BCB"/>
    <w:rsid w:val="006D3808"/>
    <w:rsid w:val="00701CCA"/>
    <w:rsid w:val="00716E57"/>
    <w:rsid w:val="00723567"/>
    <w:rsid w:val="00723C46"/>
    <w:rsid w:val="007244E6"/>
    <w:rsid w:val="00730D14"/>
    <w:rsid w:val="00740AE4"/>
    <w:rsid w:val="00740D3F"/>
    <w:rsid w:val="00742851"/>
    <w:rsid w:val="00754B62"/>
    <w:rsid w:val="00755DD1"/>
    <w:rsid w:val="0076189B"/>
    <w:rsid w:val="00761D68"/>
    <w:rsid w:val="0079187C"/>
    <w:rsid w:val="0079213F"/>
    <w:rsid w:val="00795612"/>
    <w:rsid w:val="007B60F3"/>
    <w:rsid w:val="007F7538"/>
    <w:rsid w:val="0080482C"/>
    <w:rsid w:val="00811564"/>
    <w:rsid w:val="00832A30"/>
    <w:rsid w:val="008425CA"/>
    <w:rsid w:val="00843F37"/>
    <w:rsid w:val="00855351"/>
    <w:rsid w:val="00864DFA"/>
    <w:rsid w:val="008659B7"/>
    <w:rsid w:val="00870318"/>
    <w:rsid w:val="008C05E8"/>
    <w:rsid w:val="008C7377"/>
    <w:rsid w:val="00933A62"/>
    <w:rsid w:val="00972C87"/>
    <w:rsid w:val="00997212"/>
    <w:rsid w:val="009A1A28"/>
    <w:rsid w:val="009A216D"/>
    <w:rsid w:val="009A504A"/>
    <w:rsid w:val="009C76CA"/>
    <w:rsid w:val="009E4285"/>
    <w:rsid w:val="00A24445"/>
    <w:rsid w:val="00A6258C"/>
    <w:rsid w:val="00A62A41"/>
    <w:rsid w:val="00A646E7"/>
    <w:rsid w:val="00A75500"/>
    <w:rsid w:val="00A762D2"/>
    <w:rsid w:val="00A9479D"/>
    <w:rsid w:val="00AC3086"/>
    <w:rsid w:val="00AC3250"/>
    <w:rsid w:val="00B1027A"/>
    <w:rsid w:val="00B1365F"/>
    <w:rsid w:val="00B32320"/>
    <w:rsid w:val="00B37229"/>
    <w:rsid w:val="00B47330"/>
    <w:rsid w:val="00B5488E"/>
    <w:rsid w:val="00B555DF"/>
    <w:rsid w:val="00B7496C"/>
    <w:rsid w:val="00B77E11"/>
    <w:rsid w:val="00B80E16"/>
    <w:rsid w:val="00B82229"/>
    <w:rsid w:val="00B8420D"/>
    <w:rsid w:val="00B97A00"/>
    <w:rsid w:val="00BA175F"/>
    <w:rsid w:val="00BB4B1D"/>
    <w:rsid w:val="00BB5616"/>
    <w:rsid w:val="00BC00BD"/>
    <w:rsid w:val="00BD3886"/>
    <w:rsid w:val="00BE01F9"/>
    <w:rsid w:val="00BF0987"/>
    <w:rsid w:val="00BF58FB"/>
    <w:rsid w:val="00C016B6"/>
    <w:rsid w:val="00C04263"/>
    <w:rsid w:val="00C067A9"/>
    <w:rsid w:val="00C124CF"/>
    <w:rsid w:val="00C40ECD"/>
    <w:rsid w:val="00C52B21"/>
    <w:rsid w:val="00C8277E"/>
    <w:rsid w:val="00CA5FB1"/>
    <w:rsid w:val="00CC3D7E"/>
    <w:rsid w:val="00CC4C80"/>
    <w:rsid w:val="00CD0A13"/>
    <w:rsid w:val="00CE686E"/>
    <w:rsid w:val="00CF648A"/>
    <w:rsid w:val="00D1229F"/>
    <w:rsid w:val="00DA140C"/>
    <w:rsid w:val="00DA3026"/>
    <w:rsid w:val="00DC7E4B"/>
    <w:rsid w:val="00DF399B"/>
    <w:rsid w:val="00DF5038"/>
    <w:rsid w:val="00E1685D"/>
    <w:rsid w:val="00E43238"/>
    <w:rsid w:val="00E85E15"/>
    <w:rsid w:val="00E971DD"/>
    <w:rsid w:val="00EB5FB3"/>
    <w:rsid w:val="00EC5E70"/>
    <w:rsid w:val="00ED0C0B"/>
    <w:rsid w:val="00ED246F"/>
    <w:rsid w:val="00EE6A8F"/>
    <w:rsid w:val="00EF68F0"/>
    <w:rsid w:val="00F108CF"/>
    <w:rsid w:val="00F353AC"/>
    <w:rsid w:val="00F672DA"/>
    <w:rsid w:val="00FB70C1"/>
    <w:rsid w:val="00FC6E5B"/>
    <w:rsid w:val="00FD4547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2B618"/>
  <w15:chartTrackingRefBased/>
  <w15:docId w15:val="{9C1A0CAF-ADE1-45C2-8870-C96F165E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0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E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24445"/>
    <w:pPr>
      <w:widowControl w:val="0"/>
      <w:autoSpaceDE w:val="0"/>
      <w:autoSpaceDN w:val="0"/>
      <w:spacing w:before="73" w:after="0" w:line="240" w:lineRule="auto"/>
      <w:ind w:left="108"/>
    </w:pPr>
    <w:rPr>
      <w:rFonts w:ascii="Trebuchet MS" w:eastAsia="Trebuchet MS" w:hAnsi="Trebuchet MS" w:cs="Trebuchet MS"/>
    </w:rPr>
  </w:style>
  <w:style w:type="character" w:styleId="Hyperlink">
    <w:name w:val="Hyperlink"/>
    <w:basedOn w:val="Standardskrifttypeiafsnit"/>
    <w:uiPriority w:val="99"/>
    <w:unhideWhenUsed/>
    <w:rsid w:val="0080482C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80482C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0C245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0C245B"/>
    <w:rPr>
      <w:rFonts w:ascii="Trebuchet MS" w:eastAsia="Trebuchet MS" w:hAnsi="Trebuchet MS" w:cs="Trebuchet MS"/>
      <w:sz w:val="24"/>
      <w:szCs w:val="24"/>
    </w:rPr>
  </w:style>
  <w:style w:type="paragraph" w:styleId="Korrektur">
    <w:name w:val="Revision"/>
    <w:hidden/>
    <w:uiPriority w:val="99"/>
    <w:semiHidden/>
    <w:rsid w:val="00B1027A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102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027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027A"/>
    <w:rPr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0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B1027A"/>
    <w:pPr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97212"/>
    <w:pPr>
      <w:spacing w:after="100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6A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6A8F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F37F5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5E76A19B324DAD49C6F434D64CEB" ma:contentTypeVersion="26" ma:contentTypeDescription="Create a new document." ma:contentTypeScope="" ma:versionID="bcd1edf207f6157d40c1c421f9fd92d3">
  <xsd:schema xmlns:xsd="http://www.w3.org/2001/XMLSchema" xmlns:xs="http://www.w3.org/2001/XMLSchema" xmlns:p="http://schemas.microsoft.com/office/2006/metadata/properties" xmlns:ns2="833167a2-bd5d-41c9-82f5-b9c7ba34eb9e" xmlns:ns3="835173d4-e344-49c6-a925-d348c01650d9" targetNamespace="http://schemas.microsoft.com/office/2006/metadata/properties" ma:root="true" ma:fieldsID="1df83c0767285525ba9af188cf02ba0e" ns2:_="" ns3:_="">
    <xsd:import namespace="833167a2-bd5d-41c9-82f5-b9c7ba34eb9e"/>
    <xsd:import namespace="835173d4-e344-49c6-a925-d348c0165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167a2-bd5d-41c9-82f5-b9c7ba34e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73d4-e344-49c6-a925-d348c01650d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caf88-fb8a-4fcd-a04f-fea74fa5edad}" ma:internalName="TaxCatchAll" ma:showField="CatchAllData" ma:web="835173d4-e344-49c6-a925-d348c016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167a2-bd5d-41c9-82f5-b9c7ba34eb9e">
      <Terms xmlns="http://schemas.microsoft.com/office/infopath/2007/PartnerControls"/>
    </lcf76f155ced4ddcb4097134ff3c332f>
    <TaxCatchAll xmlns="835173d4-e344-49c6-a925-d348c01650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C81B-18F3-48D5-A595-72AC4D6A1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167a2-bd5d-41c9-82f5-b9c7ba34eb9e"/>
    <ds:schemaRef ds:uri="835173d4-e344-49c6-a925-d348c0165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EED12-EA0B-4920-8851-1F2D7BDA7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76105-6B99-47FA-A620-538A758E9CA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835173d4-e344-49c6-a925-d348c01650d9"/>
    <ds:schemaRef ds:uri="833167a2-bd5d-41c9-82f5-b9c7ba34eb9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D638C9-661B-44E1-86B2-30EC8A87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2587</Words>
  <Characters>15785</Characters>
  <Application>Microsoft Office Word</Application>
  <DocSecurity>4</DocSecurity>
  <Lines>131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Peinz, Ulrich</dc:creator>
  <cp:keywords/>
  <dc:description/>
  <cp:lastModifiedBy>Seeberg Jens Svanholt</cp:lastModifiedBy>
  <cp:revision>2</cp:revision>
  <dcterms:created xsi:type="dcterms:W3CDTF">2024-11-25T11:38:00Z</dcterms:created>
  <dcterms:modified xsi:type="dcterms:W3CDTF">2024-11-25T11:38:00Z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2023-05-10T17:29:56Z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9e090ac9-f11c-4318-9a5f-e7b165426d1e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0x0101006F325E76A19B324DAD49C6F434D64CEB</vt:lpwstr>
  </property>
</Properties>
</file>