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ABF0" w14:textId="29B3F6B3" w:rsidR="00410892" w:rsidRPr="00951D44" w:rsidRDefault="00410892" w:rsidP="00410892">
      <w:pPr>
        <w:jc w:val="center"/>
        <w:rPr>
          <w:b/>
          <w:bCs/>
          <w:color w:val="00B050"/>
          <w:sz w:val="40"/>
          <w:szCs w:val="40"/>
          <w:lang w:val="da-DK"/>
        </w:rPr>
      </w:pPr>
      <w:r w:rsidRPr="00951D44">
        <w:rPr>
          <w:b/>
          <w:bCs/>
          <w:color w:val="00B050"/>
          <w:sz w:val="40"/>
          <w:szCs w:val="40"/>
        </w:rPr>
        <w:t xml:space="preserve">Guide </w:t>
      </w:r>
      <w:proofErr w:type="spellStart"/>
      <w:r w:rsidRPr="00951D44">
        <w:rPr>
          <w:b/>
          <w:bCs/>
          <w:color w:val="00B050"/>
          <w:sz w:val="40"/>
          <w:szCs w:val="40"/>
        </w:rPr>
        <w:t>til</w:t>
      </w:r>
      <w:proofErr w:type="spellEnd"/>
      <w:r w:rsidRPr="00951D44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Pr="00951D44">
        <w:rPr>
          <w:b/>
          <w:bCs/>
          <w:color w:val="00B050"/>
          <w:sz w:val="40"/>
          <w:szCs w:val="40"/>
        </w:rPr>
        <w:t>reduktion</w:t>
      </w:r>
      <w:proofErr w:type="spellEnd"/>
      <w:r w:rsidRPr="00951D44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Pr="00951D44">
        <w:rPr>
          <w:b/>
          <w:bCs/>
          <w:color w:val="00B050"/>
          <w:sz w:val="40"/>
          <w:szCs w:val="40"/>
        </w:rPr>
        <w:t>af</w:t>
      </w:r>
      <w:proofErr w:type="spellEnd"/>
      <w:r w:rsidRPr="00951D44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Pr="00951D44">
        <w:rPr>
          <w:b/>
          <w:bCs/>
          <w:color w:val="00B050"/>
          <w:sz w:val="40"/>
          <w:szCs w:val="40"/>
        </w:rPr>
        <w:t>lægemiddel</w:t>
      </w:r>
      <w:proofErr w:type="spellEnd"/>
      <w:r w:rsidRPr="00951D44">
        <w:rPr>
          <w:b/>
          <w:bCs/>
          <w:color w:val="00B050"/>
          <w:sz w:val="40"/>
          <w:szCs w:val="40"/>
        </w:rPr>
        <w:t xml:space="preserve">- </w:t>
      </w:r>
      <w:proofErr w:type="spellStart"/>
      <w:r w:rsidRPr="00951D44">
        <w:rPr>
          <w:b/>
          <w:bCs/>
          <w:color w:val="00B050"/>
          <w:sz w:val="40"/>
          <w:szCs w:val="40"/>
        </w:rPr>
        <w:t>og</w:t>
      </w:r>
      <w:proofErr w:type="spellEnd"/>
      <w:r w:rsidRPr="00951D44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Pr="00951D44">
        <w:rPr>
          <w:b/>
          <w:bCs/>
          <w:color w:val="00B050"/>
          <w:sz w:val="40"/>
          <w:szCs w:val="40"/>
        </w:rPr>
        <w:t>brugsrisici</w:t>
      </w:r>
      <w:proofErr w:type="spellEnd"/>
      <w:r w:rsidRPr="00951D44">
        <w:rPr>
          <w:b/>
          <w:bCs/>
          <w:color w:val="00B050"/>
          <w:sz w:val="40"/>
          <w:szCs w:val="40"/>
        </w:rPr>
        <w:t xml:space="preserve"> - </w:t>
      </w:r>
      <w:proofErr w:type="spellStart"/>
      <w:r w:rsidRPr="00951D44">
        <w:rPr>
          <w:b/>
          <w:bCs/>
          <w:color w:val="00B050"/>
          <w:sz w:val="40"/>
          <w:szCs w:val="40"/>
        </w:rPr>
        <w:t>Sundhedspersonale</w:t>
      </w:r>
      <w:proofErr w:type="spellEnd"/>
    </w:p>
    <w:p w14:paraId="769307ED" w14:textId="54472239" w:rsidR="00410892" w:rsidRPr="00BB3B8E" w:rsidRDefault="00410892" w:rsidP="00410892">
      <w:pPr>
        <w:jc w:val="center"/>
        <w:rPr>
          <w:bCs/>
          <w:sz w:val="24"/>
          <w:szCs w:val="24"/>
          <w:lang w:val="da-DK"/>
        </w:rPr>
      </w:pPr>
      <w:r w:rsidRPr="00677C6A">
        <w:rPr>
          <w:bCs/>
          <w:sz w:val="24"/>
          <w:szCs w:val="24"/>
        </w:rPr>
        <w:t xml:space="preserve">Se </w:t>
      </w:r>
      <w:proofErr w:type="spellStart"/>
      <w:r w:rsidRPr="00677C6A">
        <w:rPr>
          <w:bCs/>
          <w:sz w:val="24"/>
          <w:szCs w:val="24"/>
        </w:rPr>
        <w:t>også</w:t>
      </w:r>
      <w:proofErr w:type="spellEnd"/>
      <w:r w:rsidRPr="00677C6A">
        <w:rPr>
          <w:bCs/>
          <w:sz w:val="24"/>
          <w:szCs w:val="24"/>
        </w:rPr>
        <w:t xml:space="preserve"> </w:t>
      </w:r>
      <w:proofErr w:type="spellStart"/>
      <w:r w:rsidRPr="00677C6A">
        <w:rPr>
          <w:bCs/>
          <w:sz w:val="24"/>
          <w:szCs w:val="24"/>
        </w:rPr>
        <w:t>produktresuméet</w:t>
      </w:r>
      <w:proofErr w:type="spellEnd"/>
      <w:r w:rsidRPr="00677C6A">
        <w:rPr>
          <w:bCs/>
          <w:sz w:val="24"/>
          <w:szCs w:val="24"/>
        </w:rPr>
        <w:t>/</w:t>
      </w:r>
      <w:proofErr w:type="spellStart"/>
      <w:r w:rsidRPr="00677C6A">
        <w:rPr>
          <w:bCs/>
          <w:sz w:val="24"/>
          <w:szCs w:val="24"/>
        </w:rPr>
        <w:t>indlægssedlen</w:t>
      </w:r>
      <w:proofErr w:type="spellEnd"/>
      <w:r w:rsidRPr="00677C6A">
        <w:rPr>
          <w:bCs/>
          <w:sz w:val="24"/>
          <w:szCs w:val="24"/>
        </w:rPr>
        <w:t xml:space="preserve"> </w:t>
      </w:r>
      <w:proofErr w:type="spellStart"/>
      <w:r w:rsidRPr="00677C6A">
        <w:rPr>
          <w:bCs/>
          <w:sz w:val="24"/>
          <w:szCs w:val="24"/>
        </w:rPr>
        <w:t>dabigatranetexilat</w:t>
      </w:r>
      <w:proofErr w:type="spellEnd"/>
    </w:p>
    <w:p w14:paraId="2F5C69C5" w14:textId="77280D70" w:rsidR="00B43625" w:rsidRDefault="00BC65BA" w:rsidP="00BC65BA">
      <w:pPr>
        <w:pStyle w:val="Default"/>
        <w:jc w:val="center"/>
        <w:rPr>
          <w:rFonts w:asciiTheme="minorHAnsi" w:hAnsiTheme="minorHAnsi" w:cstheme="minorHAnsi"/>
          <w:b/>
          <w:sz w:val="40"/>
        </w:rPr>
      </w:pPr>
      <w:proofErr w:type="spellStart"/>
      <w:r w:rsidRPr="003C1655">
        <w:rPr>
          <w:rFonts w:asciiTheme="minorHAnsi" w:hAnsiTheme="minorHAnsi" w:cstheme="minorHAnsi"/>
          <w:b/>
          <w:sz w:val="40"/>
        </w:rPr>
        <w:t>Dabigatran-etexilat</w:t>
      </w:r>
      <w:proofErr w:type="spellEnd"/>
      <w:r w:rsidRPr="003C1655">
        <w:rPr>
          <w:rFonts w:asciiTheme="minorHAnsi" w:hAnsiTheme="minorHAnsi" w:cstheme="minorHAnsi"/>
          <w:b/>
          <w:sz w:val="40"/>
        </w:rPr>
        <w:t xml:space="preserve"> STADA</w:t>
      </w:r>
      <w:r w:rsidR="00B43625">
        <w:rPr>
          <w:rFonts w:asciiTheme="minorHAnsi" w:hAnsiTheme="minorHAnsi" w:cstheme="minorHAnsi"/>
          <w:b/>
          <w:sz w:val="40"/>
        </w:rPr>
        <w:t xml:space="preserve"> 75 mg</w:t>
      </w:r>
    </w:p>
    <w:p w14:paraId="40844030" w14:textId="63099311" w:rsidR="00B43625" w:rsidRDefault="00B43625" w:rsidP="00BC65BA">
      <w:pPr>
        <w:pStyle w:val="Default"/>
        <w:jc w:val="center"/>
        <w:rPr>
          <w:rFonts w:asciiTheme="minorHAnsi" w:hAnsiTheme="minorHAnsi" w:cstheme="minorHAnsi"/>
          <w:b/>
          <w:sz w:val="40"/>
        </w:rPr>
      </w:pPr>
      <w:proofErr w:type="spellStart"/>
      <w:r w:rsidRPr="00B43625">
        <w:rPr>
          <w:rFonts w:asciiTheme="minorHAnsi" w:hAnsiTheme="minorHAnsi" w:cstheme="minorHAnsi"/>
          <w:b/>
          <w:sz w:val="40"/>
        </w:rPr>
        <w:t>Dabigatran-etexilat</w:t>
      </w:r>
      <w:proofErr w:type="spellEnd"/>
      <w:r w:rsidRPr="00B43625">
        <w:rPr>
          <w:rFonts w:asciiTheme="minorHAnsi" w:hAnsiTheme="minorHAnsi" w:cstheme="minorHAnsi"/>
          <w:b/>
          <w:sz w:val="40"/>
        </w:rPr>
        <w:t xml:space="preserve"> STADA</w:t>
      </w:r>
      <w:r>
        <w:rPr>
          <w:rFonts w:asciiTheme="minorHAnsi" w:hAnsiTheme="minorHAnsi" w:cstheme="minorHAnsi"/>
          <w:b/>
          <w:sz w:val="40"/>
        </w:rPr>
        <w:t xml:space="preserve"> 110 mg</w:t>
      </w:r>
    </w:p>
    <w:p w14:paraId="4464CD99" w14:textId="5B6A79F0" w:rsidR="00B43625" w:rsidRDefault="00B43625" w:rsidP="00BC65BA">
      <w:pPr>
        <w:pStyle w:val="Default"/>
        <w:jc w:val="center"/>
        <w:rPr>
          <w:rFonts w:asciiTheme="minorHAnsi" w:hAnsiTheme="minorHAnsi" w:cstheme="minorHAnsi"/>
          <w:b/>
          <w:sz w:val="40"/>
        </w:rPr>
      </w:pPr>
      <w:proofErr w:type="spellStart"/>
      <w:r w:rsidRPr="00B43625">
        <w:rPr>
          <w:rFonts w:asciiTheme="minorHAnsi" w:hAnsiTheme="minorHAnsi" w:cstheme="minorHAnsi"/>
          <w:b/>
          <w:sz w:val="40"/>
        </w:rPr>
        <w:t>Dabigatran-etexilat</w:t>
      </w:r>
      <w:proofErr w:type="spellEnd"/>
      <w:r w:rsidRPr="00B43625">
        <w:rPr>
          <w:rFonts w:asciiTheme="minorHAnsi" w:hAnsiTheme="minorHAnsi" w:cstheme="minorHAnsi"/>
          <w:b/>
          <w:sz w:val="40"/>
        </w:rPr>
        <w:t xml:space="preserve"> STADA</w:t>
      </w:r>
      <w:r>
        <w:rPr>
          <w:rFonts w:asciiTheme="minorHAnsi" w:hAnsiTheme="minorHAnsi" w:cstheme="minorHAnsi"/>
          <w:b/>
          <w:sz w:val="40"/>
        </w:rPr>
        <w:t xml:space="preserve"> 150 mg</w:t>
      </w:r>
    </w:p>
    <w:p w14:paraId="3D19E6B5" w14:textId="0FD2FDF3" w:rsidR="00BC65BA" w:rsidRPr="00B43625" w:rsidRDefault="00BC65BA" w:rsidP="00BC65BA">
      <w:pPr>
        <w:pStyle w:val="Default"/>
        <w:jc w:val="center"/>
        <w:rPr>
          <w:rFonts w:asciiTheme="minorHAnsi" w:hAnsiTheme="minorHAnsi" w:cstheme="minorHAnsi"/>
          <w:b/>
          <w:sz w:val="40"/>
          <w:lang w:val="nn-NO"/>
        </w:rPr>
      </w:pPr>
      <w:r w:rsidRPr="003C1655">
        <w:rPr>
          <w:rFonts w:asciiTheme="minorHAnsi" w:hAnsiTheme="minorHAnsi" w:cstheme="minorHAnsi"/>
          <w:b/>
          <w:sz w:val="40"/>
        </w:rPr>
        <w:t xml:space="preserve"> </w:t>
      </w:r>
    </w:p>
    <w:p w14:paraId="25B47F47" w14:textId="2A4AF9E1" w:rsidR="00BC65BA" w:rsidRDefault="00BC65BA" w:rsidP="00BC65BA">
      <w:pPr>
        <w:pStyle w:val="Default"/>
        <w:jc w:val="center"/>
        <w:rPr>
          <w:rFonts w:asciiTheme="minorHAnsi" w:hAnsiTheme="minorHAnsi" w:cstheme="minorHAnsi"/>
          <w:b/>
          <w:sz w:val="40"/>
        </w:rPr>
      </w:pPr>
      <w:proofErr w:type="spellStart"/>
      <w:r w:rsidRPr="003C1655">
        <w:rPr>
          <w:rFonts w:asciiTheme="minorHAnsi" w:hAnsiTheme="minorHAnsi" w:cstheme="minorHAnsi"/>
          <w:b/>
          <w:sz w:val="40"/>
        </w:rPr>
        <w:t>Dabigatran-etexilat</w:t>
      </w:r>
      <w:proofErr w:type="spellEnd"/>
      <w:r w:rsidRPr="003C1655">
        <w:rPr>
          <w:rFonts w:asciiTheme="minorHAnsi" w:hAnsiTheme="minorHAnsi" w:cstheme="minorHAnsi"/>
          <w:b/>
          <w:sz w:val="40"/>
        </w:rPr>
        <w:t xml:space="preserve"> STADA Nordic</w:t>
      </w:r>
      <w:r w:rsidR="00B43625">
        <w:rPr>
          <w:rFonts w:asciiTheme="minorHAnsi" w:hAnsiTheme="minorHAnsi" w:cstheme="minorHAnsi"/>
          <w:b/>
          <w:sz w:val="40"/>
        </w:rPr>
        <w:t xml:space="preserve"> 75 mg</w:t>
      </w:r>
    </w:p>
    <w:p w14:paraId="50EDC5EA" w14:textId="4A2681E3" w:rsidR="00B43625" w:rsidRPr="00B43625" w:rsidRDefault="00B43625" w:rsidP="00BC65BA">
      <w:pPr>
        <w:pStyle w:val="Default"/>
        <w:jc w:val="center"/>
        <w:rPr>
          <w:rFonts w:asciiTheme="minorHAnsi" w:hAnsiTheme="minorHAnsi" w:cstheme="minorHAnsi"/>
          <w:b/>
          <w:sz w:val="40"/>
          <w:lang w:val="nn-NO"/>
        </w:rPr>
      </w:pPr>
      <w:r w:rsidRPr="00B43625">
        <w:rPr>
          <w:rFonts w:asciiTheme="minorHAnsi" w:hAnsiTheme="minorHAnsi" w:cstheme="minorHAnsi"/>
          <w:b/>
          <w:sz w:val="40"/>
          <w:lang w:val="nn-NO"/>
        </w:rPr>
        <w:t>Dabigatran-etexilat STADA Nordic</w:t>
      </w:r>
      <w:r>
        <w:rPr>
          <w:rFonts w:asciiTheme="minorHAnsi" w:hAnsiTheme="minorHAnsi" w:cstheme="minorHAnsi"/>
          <w:b/>
          <w:sz w:val="40"/>
          <w:lang w:val="nn-NO"/>
        </w:rPr>
        <w:t xml:space="preserve"> 110 mg</w:t>
      </w:r>
    </w:p>
    <w:p w14:paraId="7C9164A3" w14:textId="3B135AD0" w:rsidR="00B43625" w:rsidRPr="00B43625" w:rsidRDefault="00B43625" w:rsidP="00BC65BA">
      <w:pPr>
        <w:pStyle w:val="Default"/>
        <w:jc w:val="center"/>
        <w:rPr>
          <w:rFonts w:asciiTheme="minorHAnsi" w:hAnsiTheme="minorHAnsi" w:cstheme="minorHAnsi"/>
          <w:b/>
          <w:sz w:val="40"/>
          <w:lang w:val="nn-NO"/>
        </w:rPr>
      </w:pPr>
      <w:r w:rsidRPr="00B43625">
        <w:rPr>
          <w:rFonts w:asciiTheme="minorHAnsi" w:hAnsiTheme="minorHAnsi" w:cstheme="minorHAnsi"/>
          <w:b/>
          <w:sz w:val="40"/>
          <w:lang w:val="nn-NO"/>
        </w:rPr>
        <w:t>Dabigatran-etexilat STADA Nordic</w:t>
      </w:r>
      <w:r>
        <w:rPr>
          <w:rFonts w:asciiTheme="minorHAnsi" w:hAnsiTheme="minorHAnsi" w:cstheme="minorHAnsi"/>
          <w:b/>
          <w:sz w:val="40"/>
          <w:lang w:val="nn-NO"/>
        </w:rPr>
        <w:t xml:space="preserve"> 150 mg</w:t>
      </w:r>
    </w:p>
    <w:p w14:paraId="36BD3EC8" w14:textId="236EAFE6" w:rsidR="00190011" w:rsidRPr="00B43625" w:rsidRDefault="00190011" w:rsidP="00DE2199">
      <w:pPr>
        <w:jc w:val="center"/>
        <w:rPr>
          <w:b/>
          <w:bCs/>
          <w:lang w:val="nn-NO"/>
        </w:rPr>
      </w:pPr>
    </w:p>
    <w:p w14:paraId="4C09F6FF" w14:textId="2B639263" w:rsidR="00836CA0" w:rsidRPr="00BB3B8E" w:rsidRDefault="00836CA0" w:rsidP="00836CA0">
      <w:pPr>
        <w:rPr>
          <w:b/>
          <w:bCs/>
          <w:sz w:val="24"/>
          <w:szCs w:val="24"/>
          <w:lang w:val="da-DK"/>
        </w:rPr>
      </w:pPr>
      <w:proofErr w:type="spellStart"/>
      <w:r w:rsidRPr="00677C6A">
        <w:rPr>
          <w:b/>
          <w:bCs/>
          <w:sz w:val="24"/>
          <w:szCs w:val="24"/>
        </w:rPr>
        <w:t>Anbefalingerne</w:t>
      </w:r>
      <w:proofErr w:type="spellEnd"/>
      <w:r w:rsidRPr="00677C6A">
        <w:rPr>
          <w:b/>
          <w:bCs/>
          <w:sz w:val="24"/>
          <w:szCs w:val="24"/>
        </w:rPr>
        <w:t xml:space="preserve"> </w:t>
      </w:r>
      <w:proofErr w:type="spellStart"/>
      <w:r w:rsidR="00123616">
        <w:rPr>
          <w:b/>
          <w:bCs/>
          <w:sz w:val="24"/>
          <w:szCs w:val="24"/>
        </w:rPr>
        <w:t>vedrører</w:t>
      </w:r>
      <w:proofErr w:type="spellEnd"/>
      <w:r w:rsidR="00123616" w:rsidRPr="00677C6A">
        <w:rPr>
          <w:b/>
          <w:bCs/>
          <w:sz w:val="24"/>
          <w:szCs w:val="24"/>
        </w:rPr>
        <w:t xml:space="preserve"> </w:t>
      </w:r>
      <w:proofErr w:type="spellStart"/>
      <w:r w:rsidRPr="00677C6A">
        <w:rPr>
          <w:b/>
          <w:bCs/>
          <w:sz w:val="24"/>
          <w:szCs w:val="24"/>
        </w:rPr>
        <w:t>kun</w:t>
      </w:r>
      <w:proofErr w:type="spellEnd"/>
      <w:r w:rsidRPr="00677C6A">
        <w:rPr>
          <w:b/>
          <w:bCs/>
          <w:sz w:val="24"/>
          <w:szCs w:val="24"/>
        </w:rPr>
        <w:t xml:space="preserve"> </w:t>
      </w:r>
      <w:proofErr w:type="spellStart"/>
      <w:r w:rsidRPr="00677C6A">
        <w:rPr>
          <w:b/>
          <w:bCs/>
          <w:sz w:val="24"/>
          <w:szCs w:val="24"/>
        </w:rPr>
        <w:t>denne</w:t>
      </w:r>
      <w:proofErr w:type="spellEnd"/>
      <w:r w:rsidRPr="00677C6A">
        <w:rPr>
          <w:b/>
          <w:bCs/>
          <w:sz w:val="24"/>
          <w:szCs w:val="24"/>
        </w:rPr>
        <w:t xml:space="preserve"> </w:t>
      </w:r>
      <w:proofErr w:type="spellStart"/>
      <w:r w:rsidRPr="00677C6A">
        <w:rPr>
          <w:b/>
          <w:bCs/>
          <w:sz w:val="24"/>
          <w:szCs w:val="24"/>
        </w:rPr>
        <w:t>indikation</w:t>
      </w:r>
      <w:proofErr w:type="spellEnd"/>
      <w:r w:rsidRPr="00677C6A">
        <w:rPr>
          <w:b/>
          <w:bCs/>
          <w:sz w:val="24"/>
          <w:szCs w:val="24"/>
        </w:rPr>
        <w:t>:</w:t>
      </w:r>
    </w:p>
    <w:p w14:paraId="355578BE" w14:textId="2E2FE264" w:rsidR="00836CA0" w:rsidRPr="00BB3B8E" w:rsidRDefault="00836CA0" w:rsidP="00836CA0">
      <w:pPr>
        <w:pStyle w:val="Listeafsnit"/>
        <w:numPr>
          <w:ilvl w:val="0"/>
          <w:numId w:val="5"/>
        </w:numPr>
        <w:ind w:left="357" w:hanging="357"/>
        <w:rPr>
          <w:bCs/>
          <w:sz w:val="24"/>
          <w:szCs w:val="24"/>
          <w:lang w:val="da-DK"/>
        </w:rPr>
      </w:pPr>
      <w:proofErr w:type="spellStart"/>
      <w:r w:rsidRPr="00677C6A">
        <w:rPr>
          <w:bCs/>
          <w:sz w:val="24"/>
          <w:szCs w:val="24"/>
        </w:rPr>
        <w:t>Behandling</w:t>
      </w:r>
      <w:proofErr w:type="spellEnd"/>
      <w:r w:rsidRPr="00677C6A">
        <w:rPr>
          <w:bCs/>
          <w:sz w:val="24"/>
          <w:szCs w:val="24"/>
        </w:rPr>
        <w:t xml:space="preserve"> </w:t>
      </w:r>
      <w:proofErr w:type="spellStart"/>
      <w:r w:rsidRPr="00677C6A">
        <w:rPr>
          <w:bCs/>
          <w:sz w:val="24"/>
          <w:szCs w:val="24"/>
        </w:rPr>
        <w:t>af</w:t>
      </w:r>
      <w:proofErr w:type="spellEnd"/>
      <w:r w:rsidRPr="00677C6A">
        <w:rPr>
          <w:bCs/>
          <w:sz w:val="24"/>
          <w:szCs w:val="24"/>
        </w:rPr>
        <w:t xml:space="preserve"> </w:t>
      </w:r>
      <w:proofErr w:type="spellStart"/>
      <w:r w:rsidRPr="00677C6A">
        <w:rPr>
          <w:bCs/>
          <w:sz w:val="24"/>
          <w:szCs w:val="24"/>
        </w:rPr>
        <w:t>venøse</w:t>
      </w:r>
      <w:proofErr w:type="spellEnd"/>
      <w:r w:rsidRPr="00677C6A">
        <w:rPr>
          <w:bCs/>
          <w:sz w:val="24"/>
          <w:szCs w:val="24"/>
        </w:rPr>
        <w:t xml:space="preserve"> </w:t>
      </w:r>
      <w:proofErr w:type="spellStart"/>
      <w:r w:rsidRPr="00677C6A">
        <w:rPr>
          <w:bCs/>
          <w:sz w:val="24"/>
          <w:szCs w:val="24"/>
        </w:rPr>
        <w:t>tromboemboliske</w:t>
      </w:r>
      <w:proofErr w:type="spellEnd"/>
      <w:r w:rsidRPr="00677C6A">
        <w:rPr>
          <w:bCs/>
          <w:sz w:val="24"/>
          <w:szCs w:val="24"/>
        </w:rPr>
        <w:t xml:space="preserve"> </w:t>
      </w:r>
      <w:proofErr w:type="spellStart"/>
      <w:r w:rsidRPr="00677C6A">
        <w:rPr>
          <w:bCs/>
          <w:sz w:val="24"/>
          <w:szCs w:val="24"/>
        </w:rPr>
        <w:t>hændelser</w:t>
      </w:r>
      <w:proofErr w:type="spellEnd"/>
      <w:r w:rsidRPr="00677C6A">
        <w:rPr>
          <w:bCs/>
          <w:sz w:val="24"/>
          <w:szCs w:val="24"/>
        </w:rPr>
        <w:t xml:space="preserve"> (VTE) </w:t>
      </w:r>
      <w:proofErr w:type="spellStart"/>
      <w:r w:rsidRPr="00677C6A">
        <w:rPr>
          <w:bCs/>
          <w:sz w:val="24"/>
          <w:szCs w:val="24"/>
        </w:rPr>
        <w:t>og</w:t>
      </w:r>
      <w:proofErr w:type="spellEnd"/>
      <w:r w:rsidRPr="00677C6A">
        <w:rPr>
          <w:bCs/>
          <w:sz w:val="24"/>
          <w:szCs w:val="24"/>
        </w:rPr>
        <w:t xml:space="preserve"> </w:t>
      </w:r>
      <w:proofErr w:type="spellStart"/>
      <w:r w:rsidRPr="00677C6A">
        <w:rPr>
          <w:bCs/>
          <w:sz w:val="24"/>
          <w:szCs w:val="24"/>
        </w:rPr>
        <w:t>forebyggelse</w:t>
      </w:r>
      <w:proofErr w:type="spellEnd"/>
      <w:r w:rsidRPr="00677C6A">
        <w:rPr>
          <w:bCs/>
          <w:sz w:val="24"/>
          <w:szCs w:val="24"/>
        </w:rPr>
        <w:t xml:space="preserve"> </w:t>
      </w:r>
      <w:proofErr w:type="spellStart"/>
      <w:r w:rsidRPr="00677C6A">
        <w:rPr>
          <w:bCs/>
          <w:sz w:val="24"/>
          <w:szCs w:val="24"/>
        </w:rPr>
        <w:t>af</w:t>
      </w:r>
      <w:proofErr w:type="spellEnd"/>
      <w:r w:rsidRPr="00677C6A">
        <w:rPr>
          <w:bCs/>
          <w:sz w:val="24"/>
          <w:szCs w:val="24"/>
        </w:rPr>
        <w:t xml:space="preserve"> </w:t>
      </w:r>
      <w:proofErr w:type="spellStart"/>
      <w:r w:rsidRPr="00677C6A">
        <w:rPr>
          <w:bCs/>
          <w:sz w:val="24"/>
          <w:szCs w:val="24"/>
        </w:rPr>
        <w:t>recidiverende</w:t>
      </w:r>
      <w:proofErr w:type="spellEnd"/>
      <w:r w:rsidRPr="00677C6A">
        <w:rPr>
          <w:bCs/>
          <w:sz w:val="24"/>
          <w:szCs w:val="24"/>
        </w:rPr>
        <w:t xml:space="preserve"> VTE </w:t>
      </w:r>
      <w:proofErr w:type="spellStart"/>
      <w:r w:rsidRPr="00677C6A">
        <w:rPr>
          <w:bCs/>
          <w:sz w:val="24"/>
          <w:szCs w:val="24"/>
        </w:rPr>
        <w:t>hos</w:t>
      </w:r>
      <w:proofErr w:type="spellEnd"/>
      <w:r w:rsidRPr="00677C6A">
        <w:rPr>
          <w:bCs/>
          <w:sz w:val="24"/>
          <w:szCs w:val="24"/>
        </w:rPr>
        <w:t xml:space="preserve"> </w:t>
      </w:r>
      <w:r w:rsidRPr="00677C6A">
        <w:rPr>
          <w:b/>
          <w:bCs/>
          <w:sz w:val="24"/>
          <w:szCs w:val="24"/>
        </w:rPr>
        <w:t xml:space="preserve">BØRN OG UNGE </w:t>
      </w:r>
      <w:proofErr w:type="spellStart"/>
      <w:r w:rsidRPr="00677C6A">
        <w:rPr>
          <w:bCs/>
          <w:sz w:val="24"/>
          <w:szCs w:val="24"/>
        </w:rPr>
        <w:t>fra</w:t>
      </w:r>
      <w:proofErr w:type="spellEnd"/>
      <w:r w:rsidRPr="00677C6A">
        <w:rPr>
          <w:bCs/>
          <w:sz w:val="24"/>
          <w:szCs w:val="24"/>
        </w:rPr>
        <w:t xml:space="preserve"> </w:t>
      </w:r>
      <w:proofErr w:type="spellStart"/>
      <w:r w:rsidRPr="00677C6A">
        <w:rPr>
          <w:bCs/>
          <w:sz w:val="24"/>
          <w:szCs w:val="24"/>
        </w:rPr>
        <w:t>fødsel</w:t>
      </w:r>
      <w:proofErr w:type="spellEnd"/>
      <w:r w:rsidRPr="00677C6A">
        <w:rPr>
          <w:bCs/>
          <w:sz w:val="24"/>
          <w:szCs w:val="24"/>
        </w:rPr>
        <w:t xml:space="preserve"> </w:t>
      </w:r>
      <w:proofErr w:type="spellStart"/>
      <w:r w:rsidRPr="00677C6A">
        <w:rPr>
          <w:bCs/>
          <w:sz w:val="24"/>
          <w:szCs w:val="24"/>
        </w:rPr>
        <w:t>til</w:t>
      </w:r>
      <w:proofErr w:type="spellEnd"/>
      <w:r w:rsidRPr="00677C6A">
        <w:rPr>
          <w:bCs/>
          <w:sz w:val="24"/>
          <w:szCs w:val="24"/>
        </w:rPr>
        <w:t xml:space="preserve"> </w:t>
      </w:r>
      <w:proofErr w:type="spellStart"/>
      <w:r w:rsidRPr="00677C6A">
        <w:rPr>
          <w:bCs/>
          <w:sz w:val="24"/>
          <w:szCs w:val="24"/>
        </w:rPr>
        <w:t>under</w:t>
      </w:r>
      <w:proofErr w:type="spellEnd"/>
      <w:r w:rsidRPr="00677C6A">
        <w:rPr>
          <w:bCs/>
          <w:sz w:val="24"/>
          <w:szCs w:val="24"/>
        </w:rPr>
        <w:t xml:space="preserve"> 18 </w:t>
      </w:r>
      <w:proofErr w:type="spellStart"/>
      <w:r w:rsidRPr="00677C6A">
        <w:rPr>
          <w:bCs/>
          <w:sz w:val="24"/>
          <w:szCs w:val="24"/>
        </w:rPr>
        <w:t>år</w:t>
      </w:r>
      <w:proofErr w:type="spellEnd"/>
      <w:r w:rsidRPr="00677C6A">
        <w:rPr>
          <w:bCs/>
          <w:sz w:val="24"/>
          <w:szCs w:val="24"/>
        </w:rPr>
        <w:t>.</w:t>
      </w:r>
    </w:p>
    <w:p w14:paraId="67416A3A" w14:textId="77777777" w:rsidR="00836CA0" w:rsidRPr="00BB3B8E" w:rsidRDefault="00836CA0" w:rsidP="00190011">
      <w:pPr>
        <w:rPr>
          <w:b/>
          <w:bCs/>
          <w:sz w:val="24"/>
          <w:szCs w:val="24"/>
          <w:lang w:val="da-DK"/>
        </w:rPr>
      </w:pPr>
    </w:p>
    <w:p w14:paraId="6D9BC6D5" w14:textId="0D071609" w:rsidR="00190011" w:rsidRPr="00BB3B8E" w:rsidRDefault="00190011" w:rsidP="00C52B21">
      <w:pPr>
        <w:rPr>
          <w:lang w:val="da-DK"/>
        </w:rPr>
      </w:pPr>
    </w:p>
    <w:p w14:paraId="63E51EC0" w14:textId="67D99087" w:rsidR="00190011" w:rsidRPr="00BB3B8E" w:rsidRDefault="00190011" w:rsidP="00C52B21">
      <w:pPr>
        <w:rPr>
          <w:lang w:val="da-DK"/>
        </w:rPr>
      </w:pPr>
    </w:p>
    <w:p w14:paraId="630D4E67" w14:textId="1085B8BC" w:rsidR="00190011" w:rsidRPr="00BB3B8E" w:rsidRDefault="00190011" w:rsidP="00C52B21">
      <w:pPr>
        <w:rPr>
          <w:lang w:val="da-DK"/>
        </w:rPr>
      </w:pPr>
    </w:p>
    <w:p w14:paraId="332FC54B" w14:textId="61508C44" w:rsidR="00190011" w:rsidRPr="00BB3B8E" w:rsidRDefault="00410892" w:rsidP="00C52B21">
      <w:pPr>
        <w:rPr>
          <w:b/>
          <w:bCs/>
          <w:lang w:val="da-DK"/>
        </w:rPr>
      </w:pPr>
      <w:r w:rsidRPr="00677C6A">
        <w:rPr>
          <w:rFonts w:ascii="Calibri" w:eastAsia="Calibri" w:hAnsi="Calibri" w:cs="Times New Roman"/>
          <w:w w:val="104"/>
          <w:sz w:val="20"/>
          <w:szCs w:val="20"/>
        </w:rPr>
        <w:t xml:space="preserve">I </w:t>
      </w:r>
      <w:proofErr w:type="spellStart"/>
      <w:r w:rsidRPr="00677C6A">
        <w:rPr>
          <w:rFonts w:ascii="Calibri" w:eastAsia="Calibri" w:hAnsi="Calibri" w:cs="Times New Roman"/>
          <w:w w:val="104"/>
          <w:sz w:val="20"/>
          <w:szCs w:val="20"/>
        </w:rPr>
        <w:t>denne</w:t>
      </w:r>
      <w:proofErr w:type="spellEnd"/>
      <w:r w:rsidRPr="00677C6A">
        <w:rPr>
          <w:rFonts w:ascii="Calibri" w:eastAsia="Calibri" w:hAnsi="Calibri" w:cs="Times New Roman"/>
          <w:w w:val="104"/>
          <w:sz w:val="20"/>
          <w:szCs w:val="20"/>
        </w:rPr>
        <w:t xml:space="preserve"> </w:t>
      </w:r>
      <w:proofErr w:type="spellStart"/>
      <w:r w:rsidRPr="00677C6A">
        <w:rPr>
          <w:rFonts w:ascii="Calibri" w:eastAsia="Calibri" w:hAnsi="Calibri" w:cs="Times New Roman"/>
          <w:w w:val="104"/>
          <w:sz w:val="20"/>
          <w:szCs w:val="20"/>
        </w:rPr>
        <w:t>vejledning</w:t>
      </w:r>
      <w:proofErr w:type="spellEnd"/>
      <w:r w:rsidRPr="00677C6A">
        <w:rPr>
          <w:rFonts w:ascii="Calibri" w:eastAsia="Calibri" w:hAnsi="Calibri" w:cs="Times New Roman"/>
          <w:w w:val="104"/>
          <w:sz w:val="20"/>
          <w:szCs w:val="20"/>
        </w:rPr>
        <w:t xml:space="preserve"> </w:t>
      </w:r>
      <w:proofErr w:type="spellStart"/>
      <w:r w:rsidRPr="00677C6A">
        <w:rPr>
          <w:rFonts w:ascii="Calibri" w:eastAsia="Calibri" w:hAnsi="Calibri" w:cs="Times New Roman"/>
          <w:w w:val="104"/>
          <w:sz w:val="20"/>
          <w:szCs w:val="20"/>
        </w:rPr>
        <w:t>anvendes</w:t>
      </w:r>
      <w:proofErr w:type="spellEnd"/>
      <w:r w:rsidRPr="00677C6A">
        <w:rPr>
          <w:rFonts w:ascii="Calibri" w:eastAsia="Calibri" w:hAnsi="Calibri" w:cs="Times New Roman"/>
          <w:w w:val="104"/>
          <w:sz w:val="20"/>
          <w:szCs w:val="20"/>
        </w:rPr>
        <w:t xml:space="preserve"> </w:t>
      </w:r>
      <w:proofErr w:type="spellStart"/>
      <w:r w:rsidRPr="00677C6A">
        <w:rPr>
          <w:rFonts w:ascii="Calibri" w:eastAsia="Calibri" w:hAnsi="Calibri" w:cs="Times New Roman"/>
          <w:w w:val="104"/>
          <w:sz w:val="20"/>
          <w:szCs w:val="20"/>
        </w:rPr>
        <w:t>udtrykket</w:t>
      </w:r>
      <w:proofErr w:type="spellEnd"/>
      <w:r w:rsidRPr="00677C6A">
        <w:rPr>
          <w:rFonts w:ascii="Calibri" w:eastAsia="Calibri" w:hAnsi="Calibri" w:cs="Times New Roman"/>
          <w:w w:val="104"/>
          <w:sz w:val="20"/>
          <w:szCs w:val="20"/>
        </w:rPr>
        <w:t xml:space="preserve"> "</w:t>
      </w:r>
      <w:proofErr w:type="spellStart"/>
      <w:r w:rsidRPr="00677C6A">
        <w:rPr>
          <w:rFonts w:ascii="Calibri" w:eastAsia="Calibri" w:hAnsi="Calibri" w:cs="Times New Roman"/>
          <w:w w:val="104"/>
          <w:sz w:val="20"/>
          <w:szCs w:val="20"/>
        </w:rPr>
        <w:t>kapsel</w:t>
      </w:r>
      <w:proofErr w:type="spellEnd"/>
      <w:r w:rsidRPr="00677C6A">
        <w:rPr>
          <w:rFonts w:ascii="Calibri" w:eastAsia="Calibri" w:hAnsi="Calibri" w:cs="Times New Roman"/>
          <w:w w:val="104"/>
          <w:sz w:val="20"/>
          <w:szCs w:val="20"/>
        </w:rPr>
        <w:t xml:space="preserve">" i </w:t>
      </w:r>
      <w:proofErr w:type="spellStart"/>
      <w:r w:rsidRPr="00677C6A">
        <w:rPr>
          <w:rFonts w:ascii="Calibri" w:eastAsia="Calibri" w:hAnsi="Calibri" w:cs="Times New Roman"/>
          <w:w w:val="104"/>
          <w:sz w:val="20"/>
          <w:szCs w:val="20"/>
        </w:rPr>
        <w:t>stedet</w:t>
      </w:r>
      <w:proofErr w:type="spellEnd"/>
      <w:r w:rsidRPr="00677C6A">
        <w:rPr>
          <w:rFonts w:ascii="Calibri" w:eastAsia="Calibri" w:hAnsi="Calibri" w:cs="Times New Roman"/>
          <w:w w:val="104"/>
          <w:sz w:val="20"/>
          <w:szCs w:val="20"/>
        </w:rPr>
        <w:t xml:space="preserve"> </w:t>
      </w:r>
      <w:proofErr w:type="spellStart"/>
      <w:r w:rsidRPr="00677C6A">
        <w:rPr>
          <w:rFonts w:ascii="Calibri" w:eastAsia="Calibri" w:hAnsi="Calibri" w:cs="Times New Roman"/>
          <w:w w:val="104"/>
          <w:sz w:val="20"/>
          <w:szCs w:val="20"/>
        </w:rPr>
        <w:t>for</w:t>
      </w:r>
      <w:proofErr w:type="spellEnd"/>
      <w:r w:rsidRPr="00677C6A">
        <w:rPr>
          <w:rFonts w:ascii="Calibri" w:eastAsia="Calibri" w:hAnsi="Calibri" w:cs="Times New Roman"/>
          <w:w w:val="104"/>
          <w:sz w:val="20"/>
          <w:szCs w:val="20"/>
        </w:rPr>
        <w:t xml:space="preserve"> </w:t>
      </w:r>
      <w:proofErr w:type="spellStart"/>
      <w:r w:rsidRPr="00677C6A">
        <w:rPr>
          <w:rFonts w:ascii="Calibri" w:eastAsia="Calibri" w:hAnsi="Calibri" w:cs="Times New Roman"/>
          <w:w w:val="104"/>
          <w:sz w:val="20"/>
          <w:szCs w:val="20"/>
        </w:rPr>
        <w:t>udtrykket</w:t>
      </w:r>
      <w:proofErr w:type="spellEnd"/>
      <w:r w:rsidRPr="00677C6A">
        <w:rPr>
          <w:rFonts w:ascii="Calibri" w:eastAsia="Calibri" w:hAnsi="Calibri" w:cs="Times New Roman"/>
          <w:w w:val="104"/>
          <w:sz w:val="20"/>
          <w:szCs w:val="20"/>
        </w:rPr>
        <w:t xml:space="preserve"> "</w:t>
      </w:r>
      <w:proofErr w:type="spellStart"/>
      <w:r w:rsidRPr="00677C6A">
        <w:rPr>
          <w:rFonts w:ascii="Calibri" w:eastAsia="Calibri" w:hAnsi="Calibri" w:cs="Times New Roman"/>
          <w:w w:val="104"/>
          <w:sz w:val="20"/>
          <w:szCs w:val="20"/>
        </w:rPr>
        <w:t>hård</w:t>
      </w:r>
      <w:proofErr w:type="spellEnd"/>
      <w:r w:rsidRPr="00677C6A">
        <w:rPr>
          <w:rFonts w:ascii="Calibri" w:eastAsia="Calibri" w:hAnsi="Calibri" w:cs="Times New Roman"/>
          <w:w w:val="104"/>
          <w:sz w:val="20"/>
          <w:szCs w:val="20"/>
        </w:rPr>
        <w:t xml:space="preserve"> </w:t>
      </w:r>
      <w:proofErr w:type="spellStart"/>
      <w:r w:rsidRPr="00677C6A">
        <w:rPr>
          <w:rFonts w:ascii="Calibri" w:eastAsia="Calibri" w:hAnsi="Calibri" w:cs="Times New Roman"/>
          <w:w w:val="104"/>
          <w:sz w:val="20"/>
          <w:szCs w:val="20"/>
        </w:rPr>
        <w:t>kapsel</w:t>
      </w:r>
      <w:proofErr w:type="spellEnd"/>
      <w:r w:rsidRPr="00677C6A">
        <w:rPr>
          <w:rFonts w:ascii="Calibri" w:eastAsia="Calibri" w:hAnsi="Calibri" w:cs="Times New Roman"/>
          <w:w w:val="104"/>
          <w:sz w:val="20"/>
          <w:szCs w:val="20"/>
        </w:rPr>
        <w:t>",</w:t>
      </w:r>
      <w:r w:rsidRPr="00677C6A">
        <w:rPr>
          <w:rFonts w:ascii="Calibri" w:eastAsia="Calibri" w:hAnsi="Calibri" w:cs="Times New Roman"/>
          <w:w w:val="105"/>
          <w:sz w:val="20"/>
          <w:szCs w:val="20"/>
        </w:rPr>
        <w:t xml:space="preserve"> </w:t>
      </w:r>
      <w:proofErr w:type="spellStart"/>
      <w:r w:rsidRPr="00677C6A">
        <w:rPr>
          <w:rFonts w:ascii="Calibri" w:eastAsia="Calibri" w:hAnsi="Calibri" w:cs="Times New Roman"/>
          <w:w w:val="105"/>
          <w:sz w:val="20"/>
          <w:szCs w:val="20"/>
        </w:rPr>
        <w:t>når</w:t>
      </w:r>
      <w:proofErr w:type="spellEnd"/>
      <w:r w:rsidRPr="00677C6A">
        <w:rPr>
          <w:rFonts w:ascii="Calibri" w:eastAsia="Calibri" w:hAnsi="Calibri" w:cs="Times New Roman"/>
          <w:w w:val="105"/>
          <w:sz w:val="20"/>
          <w:szCs w:val="20"/>
        </w:rPr>
        <w:t xml:space="preserve"> den </w:t>
      </w:r>
      <w:proofErr w:type="spellStart"/>
      <w:r w:rsidRPr="00677C6A">
        <w:rPr>
          <w:rFonts w:ascii="Calibri" w:eastAsia="Calibri" w:hAnsi="Calibri" w:cs="Times New Roman"/>
          <w:w w:val="105"/>
          <w:sz w:val="20"/>
          <w:szCs w:val="20"/>
        </w:rPr>
        <w:t>farmaceutiske</w:t>
      </w:r>
      <w:proofErr w:type="spellEnd"/>
      <w:r w:rsidRPr="00677C6A">
        <w:rPr>
          <w:rFonts w:ascii="Calibri" w:eastAsia="Calibri" w:hAnsi="Calibri" w:cs="Times New Roman"/>
          <w:w w:val="105"/>
          <w:sz w:val="20"/>
          <w:szCs w:val="20"/>
        </w:rPr>
        <w:t xml:space="preserve"> </w:t>
      </w:r>
      <w:proofErr w:type="spellStart"/>
      <w:r w:rsidRPr="00677C6A">
        <w:rPr>
          <w:rFonts w:ascii="Calibri" w:eastAsia="Calibri" w:hAnsi="Calibri" w:cs="Times New Roman"/>
          <w:w w:val="105"/>
          <w:sz w:val="20"/>
          <w:szCs w:val="20"/>
        </w:rPr>
        <w:t>doseringsform</w:t>
      </w:r>
      <w:proofErr w:type="spellEnd"/>
      <w:r w:rsidRPr="00677C6A">
        <w:rPr>
          <w:rFonts w:ascii="Calibri" w:eastAsia="Calibri" w:hAnsi="Calibri" w:cs="Times New Roman"/>
          <w:w w:val="105"/>
          <w:sz w:val="20"/>
          <w:szCs w:val="20"/>
        </w:rPr>
        <w:t xml:space="preserve"> </w:t>
      </w:r>
      <w:proofErr w:type="spellStart"/>
      <w:r w:rsidRPr="00677C6A">
        <w:rPr>
          <w:rFonts w:ascii="Calibri" w:eastAsia="Calibri" w:hAnsi="Calibri" w:cs="Times New Roman"/>
          <w:w w:val="105"/>
          <w:sz w:val="20"/>
          <w:szCs w:val="20"/>
        </w:rPr>
        <w:t>nævnes</w:t>
      </w:r>
      <w:proofErr w:type="spellEnd"/>
      <w:r w:rsidRPr="00677C6A">
        <w:rPr>
          <w:rFonts w:ascii="Calibri" w:eastAsia="Calibri" w:hAnsi="Calibri" w:cs="Times New Roman"/>
          <w:w w:val="105"/>
          <w:sz w:val="20"/>
          <w:szCs w:val="20"/>
        </w:rPr>
        <w:t xml:space="preserve"> </w:t>
      </w:r>
      <w:proofErr w:type="spellStart"/>
      <w:r w:rsidRPr="00677C6A">
        <w:rPr>
          <w:rFonts w:ascii="Calibri" w:eastAsia="Calibri" w:hAnsi="Calibri" w:cs="Times New Roman"/>
          <w:w w:val="105"/>
          <w:sz w:val="20"/>
          <w:szCs w:val="20"/>
        </w:rPr>
        <w:t>for</w:t>
      </w:r>
      <w:proofErr w:type="spellEnd"/>
      <w:r w:rsidRPr="00677C6A">
        <w:rPr>
          <w:rFonts w:ascii="Calibri" w:eastAsia="Calibri" w:hAnsi="Calibri" w:cs="Times New Roman"/>
          <w:w w:val="105"/>
          <w:sz w:val="20"/>
          <w:szCs w:val="20"/>
        </w:rPr>
        <w:t xml:space="preserve"> </w:t>
      </w:r>
      <w:proofErr w:type="spellStart"/>
      <w:r w:rsidRPr="00677C6A">
        <w:rPr>
          <w:rFonts w:ascii="Calibri" w:eastAsia="Calibri" w:hAnsi="Calibri" w:cs="Times New Roman"/>
          <w:w w:val="105"/>
          <w:sz w:val="20"/>
          <w:szCs w:val="20"/>
        </w:rPr>
        <w:t>klarhedens</w:t>
      </w:r>
      <w:proofErr w:type="spellEnd"/>
      <w:r w:rsidRPr="00677C6A">
        <w:rPr>
          <w:rFonts w:ascii="Calibri" w:eastAsia="Calibri" w:hAnsi="Calibri" w:cs="Times New Roman"/>
          <w:w w:val="105"/>
          <w:sz w:val="20"/>
          <w:szCs w:val="20"/>
        </w:rPr>
        <w:t xml:space="preserve"> </w:t>
      </w:r>
      <w:proofErr w:type="spellStart"/>
      <w:r w:rsidRPr="00677C6A">
        <w:rPr>
          <w:rFonts w:ascii="Calibri" w:eastAsia="Calibri" w:hAnsi="Calibri" w:cs="Times New Roman"/>
          <w:w w:val="105"/>
          <w:sz w:val="20"/>
          <w:szCs w:val="20"/>
        </w:rPr>
        <w:t>skyld</w:t>
      </w:r>
      <w:proofErr w:type="spellEnd"/>
      <w:r w:rsidRPr="00677C6A">
        <w:rPr>
          <w:rFonts w:ascii="Calibri" w:eastAsia="Calibri" w:hAnsi="Calibri" w:cs="Times New Roman"/>
          <w:w w:val="105"/>
          <w:sz w:val="20"/>
          <w:szCs w:val="20"/>
        </w:rPr>
        <w:t>.</w:t>
      </w:r>
    </w:p>
    <w:p w14:paraId="7651DF0A" w14:textId="77777777" w:rsidR="00836CA0" w:rsidRPr="00BB3B8E" w:rsidRDefault="00836CA0">
      <w:pPr>
        <w:rPr>
          <w:rFonts w:ascii="Century Gothic" w:eastAsia="Century Gothic" w:hAnsi="Century Gothic" w:cs="Century Gothic"/>
          <w:b/>
          <w:bCs/>
          <w:spacing w:val="-2"/>
          <w:w w:val="110"/>
          <w:sz w:val="30"/>
          <w:szCs w:val="30"/>
          <w:lang w:val="da-DK"/>
        </w:rPr>
      </w:pPr>
      <w:r w:rsidRPr="00677C6A">
        <w:rPr>
          <w:rFonts w:ascii="Century Gothic" w:eastAsia="Century Gothic" w:hAnsi="Century Gothic" w:cs="Century Gothic"/>
          <w:b/>
          <w:bCs/>
          <w:spacing w:val="-2"/>
          <w:w w:val="110"/>
          <w:sz w:val="30"/>
          <w:szCs w:val="30"/>
        </w:rPr>
        <w:br w:type="page"/>
      </w:r>
    </w:p>
    <w:p w14:paraId="13665FDF" w14:textId="48B0EBDC" w:rsidR="00836CA0" w:rsidRPr="009A11A6" w:rsidRDefault="00B43625">
      <w:pPr>
        <w:widowControl w:val="0"/>
        <w:tabs>
          <w:tab w:val="left" w:pos="5463"/>
        </w:tabs>
        <w:autoSpaceDE w:val="0"/>
        <w:autoSpaceDN w:val="0"/>
        <w:spacing w:before="242" w:after="0" w:line="240" w:lineRule="auto"/>
        <w:outlineLvl w:val="0"/>
        <w:rPr>
          <w:rFonts w:ascii="Century Gothic" w:eastAsia="Century Gothic" w:hAnsi="Century Gothic" w:cs="Century Gothic"/>
          <w:b/>
          <w:bCs/>
          <w:spacing w:val="-2"/>
          <w:w w:val="110"/>
          <w:sz w:val="30"/>
          <w:szCs w:val="30"/>
          <w:lang w:val="da-DK"/>
        </w:rPr>
      </w:pPr>
      <w:r w:rsidRPr="00B43625">
        <w:rPr>
          <w:b/>
          <w:bCs/>
          <w:sz w:val="24"/>
          <w:szCs w:val="24"/>
        </w:rPr>
        <w:lastRenderedPageBreak/>
        <w:t xml:space="preserve">Denne </w:t>
      </w:r>
      <w:proofErr w:type="spellStart"/>
      <w:r w:rsidRPr="00B43625">
        <w:rPr>
          <w:b/>
          <w:bCs/>
          <w:sz w:val="24"/>
          <w:szCs w:val="24"/>
        </w:rPr>
        <w:t>vejledning</w:t>
      </w:r>
      <w:proofErr w:type="spellEnd"/>
      <w:r w:rsidRPr="00B43625">
        <w:rPr>
          <w:b/>
          <w:bCs/>
          <w:sz w:val="24"/>
          <w:szCs w:val="24"/>
        </w:rPr>
        <w:t xml:space="preserve"> </w:t>
      </w:r>
      <w:proofErr w:type="spellStart"/>
      <w:r w:rsidRPr="00B43625">
        <w:rPr>
          <w:b/>
          <w:bCs/>
          <w:sz w:val="24"/>
          <w:szCs w:val="24"/>
        </w:rPr>
        <w:t>indeholder</w:t>
      </w:r>
      <w:proofErr w:type="spellEnd"/>
      <w:r w:rsidRPr="00B43625">
        <w:rPr>
          <w:b/>
          <w:bCs/>
          <w:sz w:val="24"/>
          <w:szCs w:val="24"/>
        </w:rPr>
        <w:t xml:space="preserve"> </w:t>
      </w:r>
      <w:proofErr w:type="spellStart"/>
      <w:r w:rsidRPr="00B43625">
        <w:rPr>
          <w:b/>
          <w:bCs/>
          <w:sz w:val="24"/>
          <w:szCs w:val="24"/>
        </w:rPr>
        <w:t>anbefalinger</w:t>
      </w:r>
      <w:proofErr w:type="spellEnd"/>
      <w:r w:rsidRPr="00B43625">
        <w:rPr>
          <w:b/>
          <w:bCs/>
          <w:sz w:val="24"/>
          <w:szCs w:val="24"/>
        </w:rPr>
        <w:t xml:space="preserve"> </w:t>
      </w:r>
      <w:proofErr w:type="spellStart"/>
      <w:r w:rsidRPr="00B43625">
        <w:rPr>
          <w:b/>
          <w:bCs/>
          <w:sz w:val="24"/>
          <w:szCs w:val="24"/>
        </w:rPr>
        <w:t>til</w:t>
      </w:r>
      <w:proofErr w:type="spellEnd"/>
      <w:r w:rsidRPr="00B43625">
        <w:rPr>
          <w:b/>
          <w:bCs/>
          <w:sz w:val="24"/>
          <w:szCs w:val="24"/>
        </w:rPr>
        <w:t xml:space="preserve"> at </w:t>
      </w:r>
      <w:proofErr w:type="spellStart"/>
      <w:r w:rsidRPr="00B43625">
        <w:rPr>
          <w:b/>
          <w:bCs/>
          <w:sz w:val="24"/>
          <w:szCs w:val="24"/>
        </w:rPr>
        <w:t>reducere</w:t>
      </w:r>
      <w:proofErr w:type="spellEnd"/>
      <w:r w:rsidRPr="00B43625">
        <w:rPr>
          <w:b/>
          <w:bCs/>
          <w:sz w:val="24"/>
          <w:szCs w:val="24"/>
        </w:rPr>
        <w:t xml:space="preserve"> </w:t>
      </w:r>
      <w:proofErr w:type="spellStart"/>
      <w:r w:rsidRPr="00B43625">
        <w:rPr>
          <w:b/>
          <w:bCs/>
          <w:sz w:val="24"/>
          <w:szCs w:val="24"/>
        </w:rPr>
        <w:t>risikoen</w:t>
      </w:r>
      <w:proofErr w:type="spellEnd"/>
      <w:r w:rsidRPr="00B43625">
        <w:rPr>
          <w:b/>
          <w:bCs/>
          <w:sz w:val="24"/>
          <w:szCs w:val="24"/>
        </w:rPr>
        <w:t xml:space="preserve"> </w:t>
      </w:r>
      <w:proofErr w:type="spellStart"/>
      <w:r w:rsidRPr="00B43625">
        <w:rPr>
          <w:b/>
          <w:bCs/>
          <w:sz w:val="24"/>
          <w:szCs w:val="24"/>
        </w:rPr>
        <w:t>for</w:t>
      </w:r>
      <w:proofErr w:type="spellEnd"/>
      <w:r w:rsidRPr="00B43625">
        <w:rPr>
          <w:b/>
          <w:bCs/>
          <w:sz w:val="24"/>
          <w:szCs w:val="24"/>
        </w:rPr>
        <w:t xml:space="preserve"> </w:t>
      </w:r>
      <w:proofErr w:type="spellStart"/>
      <w:r w:rsidRPr="00B43625">
        <w:rPr>
          <w:b/>
          <w:bCs/>
          <w:sz w:val="24"/>
          <w:szCs w:val="24"/>
        </w:rPr>
        <w:t>blødning</w:t>
      </w:r>
      <w:proofErr w:type="spellEnd"/>
      <w:r w:rsidRPr="00B43625">
        <w:rPr>
          <w:b/>
          <w:bCs/>
          <w:sz w:val="24"/>
          <w:szCs w:val="24"/>
        </w:rPr>
        <w:t xml:space="preserve"> </w:t>
      </w:r>
      <w:proofErr w:type="spellStart"/>
      <w:r w:rsidRPr="00B43625">
        <w:rPr>
          <w:b/>
          <w:bCs/>
          <w:sz w:val="24"/>
          <w:szCs w:val="24"/>
        </w:rPr>
        <w:t>hos</w:t>
      </w:r>
      <w:proofErr w:type="spellEnd"/>
      <w:r w:rsidRPr="00B43625">
        <w:rPr>
          <w:b/>
          <w:bCs/>
          <w:sz w:val="24"/>
          <w:szCs w:val="24"/>
        </w:rPr>
        <w:t xml:space="preserve"> </w:t>
      </w:r>
      <w:proofErr w:type="spellStart"/>
      <w:r w:rsidRPr="00B43625">
        <w:rPr>
          <w:b/>
          <w:bCs/>
          <w:sz w:val="24"/>
          <w:szCs w:val="24"/>
        </w:rPr>
        <w:t>børn</w:t>
      </w:r>
      <w:proofErr w:type="spellEnd"/>
      <w:r w:rsidRPr="00B43625">
        <w:rPr>
          <w:b/>
          <w:bCs/>
          <w:sz w:val="24"/>
          <w:szCs w:val="24"/>
        </w:rPr>
        <w:t xml:space="preserve"> </w:t>
      </w:r>
      <w:proofErr w:type="spellStart"/>
      <w:r w:rsidRPr="00B43625">
        <w:rPr>
          <w:b/>
          <w:bCs/>
          <w:sz w:val="24"/>
          <w:szCs w:val="24"/>
        </w:rPr>
        <w:t>og</w:t>
      </w:r>
      <w:proofErr w:type="spellEnd"/>
      <w:r w:rsidRPr="00B43625">
        <w:rPr>
          <w:b/>
          <w:bCs/>
          <w:sz w:val="24"/>
          <w:szCs w:val="24"/>
        </w:rPr>
        <w:t xml:space="preserve"> </w:t>
      </w:r>
      <w:proofErr w:type="spellStart"/>
      <w:r w:rsidRPr="00B43625">
        <w:rPr>
          <w:b/>
          <w:bCs/>
          <w:sz w:val="24"/>
          <w:szCs w:val="24"/>
        </w:rPr>
        <w:t>unge</w:t>
      </w:r>
      <w:proofErr w:type="spellEnd"/>
      <w:r w:rsidRPr="00B43625">
        <w:rPr>
          <w:b/>
          <w:bCs/>
          <w:sz w:val="24"/>
          <w:szCs w:val="24"/>
        </w:rPr>
        <w:t xml:space="preserve"> </w:t>
      </w:r>
      <w:proofErr w:type="spellStart"/>
      <w:r w:rsidRPr="00B43625">
        <w:rPr>
          <w:b/>
          <w:bCs/>
          <w:sz w:val="24"/>
          <w:szCs w:val="24"/>
        </w:rPr>
        <w:t>ved</w:t>
      </w:r>
      <w:proofErr w:type="spellEnd"/>
      <w:r w:rsidRPr="00B43625">
        <w:rPr>
          <w:b/>
          <w:bCs/>
          <w:sz w:val="24"/>
          <w:szCs w:val="24"/>
        </w:rPr>
        <w:t xml:space="preserve"> </w:t>
      </w:r>
      <w:proofErr w:type="spellStart"/>
      <w:r w:rsidRPr="00B43625">
        <w:rPr>
          <w:b/>
          <w:bCs/>
          <w:sz w:val="24"/>
          <w:szCs w:val="24"/>
        </w:rPr>
        <w:t>anvendelsen</w:t>
      </w:r>
      <w:proofErr w:type="spellEnd"/>
      <w:r w:rsidRPr="00B43625">
        <w:rPr>
          <w:b/>
          <w:bCs/>
          <w:sz w:val="24"/>
          <w:szCs w:val="24"/>
        </w:rPr>
        <w:t xml:space="preserve"> </w:t>
      </w:r>
      <w:proofErr w:type="spellStart"/>
      <w:r w:rsidRPr="00B43625">
        <w:rPr>
          <w:b/>
          <w:bCs/>
          <w:sz w:val="24"/>
          <w:szCs w:val="24"/>
        </w:rPr>
        <w:t>af</w:t>
      </w:r>
      <w:proofErr w:type="spellEnd"/>
      <w:r w:rsidRPr="00B43625">
        <w:rPr>
          <w:b/>
          <w:bCs/>
          <w:sz w:val="24"/>
          <w:szCs w:val="24"/>
        </w:rPr>
        <w:t xml:space="preserve"> </w:t>
      </w:r>
      <w:proofErr w:type="spellStart"/>
      <w:r w:rsidRPr="00B43625">
        <w:rPr>
          <w:b/>
          <w:bCs/>
          <w:sz w:val="24"/>
          <w:szCs w:val="24"/>
        </w:rPr>
        <w:t>dabigatranetexilat</w:t>
      </w:r>
      <w:proofErr w:type="spellEnd"/>
    </w:p>
    <w:p w14:paraId="5D56F334" w14:textId="77777777" w:rsidR="00836CA0" w:rsidRPr="009A11A6" w:rsidRDefault="00836CA0">
      <w:pPr>
        <w:widowControl w:val="0"/>
        <w:tabs>
          <w:tab w:val="left" w:pos="5463"/>
        </w:tabs>
        <w:autoSpaceDE w:val="0"/>
        <w:autoSpaceDN w:val="0"/>
        <w:spacing w:before="242" w:after="0" w:line="240" w:lineRule="auto"/>
        <w:outlineLvl w:val="0"/>
        <w:rPr>
          <w:rFonts w:ascii="Century Gothic" w:eastAsia="Century Gothic" w:hAnsi="Century Gothic" w:cs="Century Gothic"/>
          <w:b/>
          <w:bCs/>
          <w:spacing w:val="-2"/>
          <w:w w:val="110"/>
          <w:sz w:val="30"/>
          <w:szCs w:val="30"/>
          <w:lang w:val="da-DK"/>
        </w:rPr>
      </w:pPr>
    </w:p>
    <w:p w14:paraId="087FE1DF" w14:textId="59131152" w:rsidR="00190011" w:rsidRPr="009A11A6" w:rsidRDefault="000F3A5F" w:rsidP="003260A6">
      <w:pPr>
        <w:widowControl w:val="0"/>
        <w:tabs>
          <w:tab w:val="left" w:pos="5463"/>
        </w:tabs>
        <w:autoSpaceDE w:val="0"/>
        <w:autoSpaceDN w:val="0"/>
        <w:spacing w:before="242" w:after="0" w:line="240" w:lineRule="auto"/>
        <w:outlineLvl w:val="0"/>
        <w:rPr>
          <w:rFonts w:ascii="Century Gothic" w:eastAsia="Century Gothic" w:hAnsi="Century Gothic" w:cs="Century Gothic"/>
          <w:b/>
          <w:bCs/>
          <w:sz w:val="30"/>
          <w:szCs w:val="30"/>
          <w:lang w:val="da-DK"/>
        </w:rPr>
      </w:pPr>
      <w:proofErr w:type="spellStart"/>
      <w:r w:rsidRPr="00677C6A">
        <w:rPr>
          <w:rFonts w:ascii="Century Gothic" w:eastAsia="Century Gothic" w:hAnsi="Century Gothic" w:cs="Century Gothic"/>
          <w:b/>
          <w:bCs/>
          <w:spacing w:val="-2"/>
          <w:w w:val="110"/>
          <w:sz w:val="30"/>
          <w:szCs w:val="30"/>
        </w:rPr>
        <w:t>Indholdsfortegnelse</w:t>
      </w:r>
      <w:proofErr w:type="spellEnd"/>
    </w:p>
    <w:sdt>
      <w:sdtPr>
        <w:rPr>
          <w:rFonts w:ascii="Century Gothic" w:eastAsia="Century Gothic" w:hAnsi="Century Gothic" w:cs="Century Gothic"/>
        </w:rPr>
        <w:id w:val="150880996"/>
        <w:docPartObj>
          <w:docPartGallery w:val="Table of Contents"/>
          <w:docPartUnique/>
        </w:docPartObj>
      </w:sdtPr>
      <w:sdtEndPr/>
      <w:sdtContent>
        <w:p w14:paraId="2D08EAA0" w14:textId="77777777" w:rsidR="00190011" w:rsidRPr="009A11A6" w:rsidRDefault="0029767D" w:rsidP="00190011">
          <w:pPr>
            <w:widowControl w:val="0"/>
            <w:tabs>
              <w:tab w:val="right" w:leader="dot" w:pos="6217"/>
            </w:tabs>
            <w:autoSpaceDE w:val="0"/>
            <w:autoSpaceDN w:val="0"/>
            <w:spacing w:before="503" w:after="0" w:line="240" w:lineRule="auto"/>
            <w:ind w:left="237"/>
            <w:rPr>
              <w:rFonts w:ascii="Century Gothic" w:eastAsia="Century Gothic" w:hAnsi="Century Gothic" w:cs="Century Gothic"/>
              <w:lang w:val="da-DK"/>
            </w:rPr>
          </w:pPr>
          <w:hyperlink w:anchor="_TOC_250005" w:history="1">
            <w:proofErr w:type="spellStart"/>
            <w:r w:rsidR="00190011" w:rsidRPr="00677C6A">
              <w:rPr>
                <w:rFonts w:ascii="Century Gothic" w:eastAsia="Century Gothic" w:hAnsi="Century Gothic" w:cs="Century Gothic"/>
                <w:spacing w:val="-2"/>
              </w:rPr>
              <w:t>Indikationer</w:t>
            </w:r>
            <w:proofErr w:type="spellEnd"/>
            <w:r w:rsidR="00190011" w:rsidRPr="00677C6A">
              <w:rPr>
                <w:rFonts w:ascii="Century Gothic" w:eastAsia="Century Gothic" w:hAnsi="Century Gothic" w:cs="Century Gothic"/>
              </w:rPr>
              <w:tab/>
            </w:r>
            <w:r w:rsidR="00190011" w:rsidRPr="00677C6A">
              <w:rPr>
                <w:rFonts w:ascii="Century Gothic" w:eastAsia="Century Gothic" w:hAnsi="Century Gothic" w:cs="Century Gothic"/>
                <w:spacing w:val="-10"/>
              </w:rPr>
              <w:t>3</w:t>
            </w:r>
          </w:hyperlink>
        </w:p>
        <w:p w14:paraId="4A1DC1F5" w14:textId="77777777" w:rsidR="00190011" w:rsidRPr="009A11A6" w:rsidRDefault="0029767D" w:rsidP="00190011">
          <w:pPr>
            <w:widowControl w:val="0"/>
            <w:tabs>
              <w:tab w:val="right" w:leader="dot" w:pos="6217"/>
            </w:tabs>
            <w:autoSpaceDE w:val="0"/>
            <w:autoSpaceDN w:val="0"/>
            <w:spacing w:before="237" w:after="0" w:line="240" w:lineRule="auto"/>
            <w:ind w:left="237"/>
            <w:rPr>
              <w:rFonts w:ascii="Century Gothic" w:eastAsia="Century Gothic" w:hAnsi="Century Gothic" w:cs="Century Gothic"/>
              <w:lang w:val="da-DK"/>
            </w:rPr>
          </w:pPr>
          <w:hyperlink w:anchor="_TOC_250004" w:history="1">
            <w:proofErr w:type="spellStart"/>
            <w:r w:rsidR="00190011" w:rsidRPr="00677C6A">
              <w:rPr>
                <w:rFonts w:ascii="Century Gothic" w:eastAsia="Century Gothic" w:hAnsi="Century Gothic" w:cs="Century Gothic"/>
                <w:spacing w:val="-2"/>
              </w:rPr>
              <w:t>Kontraindikationer</w:t>
            </w:r>
            <w:proofErr w:type="spellEnd"/>
            <w:r w:rsidR="00190011" w:rsidRPr="00677C6A">
              <w:rPr>
                <w:rFonts w:ascii="Century Gothic" w:eastAsia="Century Gothic" w:hAnsi="Century Gothic" w:cs="Century Gothic"/>
              </w:rPr>
              <w:tab/>
            </w:r>
            <w:r w:rsidR="00190011" w:rsidRPr="00677C6A">
              <w:rPr>
                <w:rFonts w:ascii="Century Gothic" w:eastAsia="Century Gothic" w:hAnsi="Century Gothic" w:cs="Century Gothic"/>
                <w:spacing w:val="-10"/>
              </w:rPr>
              <w:t>3</w:t>
            </w:r>
          </w:hyperlink>
        </w:p>
        <w:p w14:paraId="72A6B8EE" w14:textId="77777777" w:rsidR="00190011" w:rsidRPr="009A11A6" w:rsidRDefault="00190011" w:rsidP="00190011">
          <w:pPr>
            <w:widowControl w:val="0"/>
            <w:tabs>
              <w:tab w:val="right" w:leader="dot" w:pos="6217"/>
            </w:tabs>
            <w:autoSpaceDE w:val="0"/>
            <w:autoSpaceDN w:val="0"/>
            <w:spacing w:before="237" w:after="0" w:line="240" w:lineRule="auto"/>
            <w:ind w:left="237"/>
            <w:rPr>
              <w:rFonts w:ascii="Century Gothic" w:eastAsia="Century Gothic" w:hAnsi="Century Gothic" w:cs="Century Gothic"/>
              <w:lang w:val="da-DK"/>
            </w:rPr>
          </w:pPr>
          <w:proofErr w:type="spellStart"/>
          <w:r w:rsidRPr="00677C6A">
            <w:rPr>
              <w:rFonts w:ascii="Century Gothic" w:eastAsia="Century Gothic" w:hAnsi="Century Gothic" w:cs="Century Gothic"/>
              <w:spacing w:val="-2"/>
            </w:rPr>
            <w:t>Dosering</w:t>
          </w:r>
          <w:proofErr w:type="spellEnd"/>
          <w:r w:rsidRPr="00677C6A">
            <w:rPr>
              <w:rFonts w:ascii="Century Gothic" w:eastAsia="Century Gothic" w:hAnsi="Century Gothic" w:cs="Century Gothic"/>
            </w:rPr>
            <w:tab/>
          </w:r>
          <w:r w:rsidRPr="00677C6A">
            <w:rPr>
              <w:rFonts w:ascii="Century Gothic" w:eastAsia="Century Gothic" w:hAnsi="Century Gothic" w:cs="Century Gothic"/>
              <w:spacing w:val="-10"/>
            </w:rPr>
            <w:t>4</w:t>
          </w:r>
        </w:p>
        <w:p w14:paraId="01117601" w14:textId="77777777" w:rsidR="00190011" w:rsidRPr="009A11A6" w:rsidRDefault="00190011" w:rsidP="00190011">
          <w:pPr>
            <w:widowControl w:val="0"/>
            <w:autoSpaceDE w:val="0"/>
            <w:autoSpaceDN w:val="0"/>
            <w:spacing w:before="237" w:after="0" w:line="240" w:lineRule="auto"/>
            <w:ind w:left="237"/>
            <w:rPr>
              <w:rFonts w:ascii="Century Gothic" w:eastAsia="Century Gothic" w:hAnsi="Century Gothic" w:cs="Century Gothic"/>
              <w:lang w:val="da-DK"/>
            </w:rPr>
          </w:pPr>
          <w:proofErr w:type="spellStart"/>
          <w:r w:rsidRPr="00677C6A">
            <w:rPr>
              <w:rFonts w:ascii="Century Gothic" w:eastAsia="Century Gothic" w:hAnsi="Century Gothic" w:cs="Century Gothic"/>
            </w:rPr>
            <w:t>Særlige</w:t>
          </w:r>
          <w:proofErr w:type="spellEnd"/>
          <w:r w:rsidRPr="00677C6A">
            <w:rPr>
              <w:rFonts w:ascii="Century Gothic" w:eastAsia="Century Gothic" w:hAnsi="Century Gothic" w:cs="Century Gothic"/>
            </w:rPr>
            <w:t xml:space="preserve"> </w:t>
          </w:r>
          <w:proofErr w:type="spellStart"/>
          <w:r w:rsidRPr="00677C6A">
            <w:rPr>
              <w:rFonts w:ascii="Century Gothic" w:eastAsia="Century Gothic" w:hAnsi="Century Gothic" w:cs="Century Gothic"/>
            </w:rPr>
            <w:t>patientgrupper</w:t>
          </w:r>
          <w:proofErr w:type="spellEnd"/>
          <w:r w:rsidRPr="00677C6A">
            <w:rPr>
              <w:rFonts w:ascii="Century Gothic" w:eastAsia="Century Gothic" w:hAnsi="Century Gothic" w:cs="Century Gothic"/>
            </w:rPr>
            <w:t xml:space="preserve"> med</w:t>
          </w:r>
        </w:p>
        <w:p w14:paraId="15E8BB70" w14:textId="398D0F16" w:rsidR="00190011" w:rsidRPr="009A11A6" w:rsidRDefault="00190011" w:rsidP="00190011">
          <w:pPr>
            <w:widowControl w:val="0"/>
            <w:tabs>
              <w:tab w:val="right" w:leader="dot" w:pos="6217"/>
            </w:tabs>
            <w:autoSpaceDE w:val="0"/>
            <w:autoSpaceDN w:val="0"/>
            <w:spacing w:before="11" w:after="0" w:line="240" w:lineRule="auto"/>
            <w:ind w:left="237"/>
            <w:rPr>
              <w:rFonts w:ascii="Century Gothic" w:eastAsia="Century Gothic" w:hAnsi="Century Gothic" w:cs="Century Gothic"/>
              <w:lang w:val="da-DK"/>
            </w:rPr>
          </w:pPr>
          <w:proofErr w:type="spellStart"/>
          <w:r w:rsidRPr="00677C6A">
            <w:rPr>
              <w:rFonts w:ascii="Century Gothic" w:eastAsia="Century Gothic" w:hAnsi="Century Gothic" w:cs="Century Gothic"/>
            </w:rPr>
            <w:t>potentielt</w:t>
          </w:r>
          <w:proofErr w:type="spellEnd"/>
          <w:r w:rsidRPr="00677C6A">
            <w:rPr>
              <w:rFonts w:ascii="Century Gothic" w:eastAsia="Century Gothic" w:hAnsi="Century Gothic" w:cs="Century Gothic"/>
            </w:rPr>
            <w:t xml:space="preserve"> </w:t>
          </w:r>
          <w:proofErr w:type="spellStart"/>
          <w:r w:rsidRPr="00677C6A">
            <w:rPr>
              <w:rFonts w:ascii="Century Gothic" w:eastAsia="Century Gothic" w:hAnsi="Century Gothic" w:cs="Century Gothic"/>
            </w:rPr>
            <w:t>øget</w:t>
          </w:r>
          <w:proofErr w:type="spellEnd"/>
          <w:r w:rsidRPr="00677C6A">
            <w:rPr>
              <w:rFonts w:ascii="Century Gothic" w:eastAsia="Century Gothic" w:hAnsi="Century Gothic" w:cs="Century Gothic"/>
            </w:rPr>
            <w:t xml:space="preserve"> </w:t>
          </w:r>
          <w:proofErr w:type="spellStart"/>
          <w:r w:rsidRPr="00677C6A">
            <w:rPr>
              <w:rFonts w:ascii="Century Gothic" w:eastAsia="Century Gothic" w:hAnsi="Century Gothic" w:cs="Century Gothic"/>
            </w:rPr>
            <w:t>risiko</w:t>
          </w:r>
          <w:proofErr w:type="spellEnd"/>
          <w:r w:rsidRPr="00677C6A">
            <w:rPr>
              <w:rFonts w:ascii="Century Gothic" w:eastAsia="Century Gothic" w:hAnsi="Century Gothic" w:cs="Century Gothic"/>
            </w:rPr>
            <w:t xml:space="preserve"> </w:t>
          </w:r>
          <w:proofErr w:type="spellStart"/>
          <w:r w:rsidRPr="00677C6A">
            <w:rPr>
              <w:rFonts w:ascii="Century Gothic" w:eastAsia="Century Gothic" w:hAnsi="Century Gothic" w:cs="Century Gothic"/>
            </w:rPr>
            <w:t>for</w:t>
          </w:r>
          <w:proofErr w:type="spellEnd"/>
          <w:r w:rsidRPr="00677C6A">
            <w:rPr>
              <w:rFonts w:ascii="Century Gothic" w:eastAsia="Century Gothic" w:hAnsi="Century Gothic" w:cs="Century Gothic"/>
            </w:rPr>
            <w:t xml:space="preserve"> </w:t>
          </w:r>
          <w:proofErr w:type="spellStart"/>
          <w:r w:rsidRPr="00677C6A">
            <w:rPr>
              <w:rFonts w:ascii="Century Gothic" w:eastAsia="Century Gothic" w:hAnsi="Century Gothic" w:cs="Century Gothic"/>
            </w:rPr>
            <w:t>blødning</w:t>
          </w:r>
          <w:proofErr w:type="spellEnd"/>
          <w:r w:rsidRPr="00677C6A">
            <w:rPr>
              <w:rFonts w:ascii="Century Gothic" w:eastAsia="Century Gothic" w:hAnsi="Century Gothic" w:cs="Century Gothic"/>
            </w:rPr>
            <w:tab/>
          </w:r>
          <w:r w:rsidR="003B18FA">
            <w:rPr>
              <w:rFonts w:ascii="Century Gothic" w:eastAsia="Century Gothic" w:hAnsi="Century Gothic" w:cs="Century Gothic"/>
              <w:spacing w:val="-5"/>
            </w:rPr>
            <w:t>6</w:t>
          </w:r>
        </w:p>
        <w:p w14:paraId="1C6B7E93" w14:textId="01456527" w:rsidR="00190011" w:rsidRPr="009A11A6" w:rsidRDefault="0029767D" w:rsidP="00190011">
          <w:pPr>
            <w:widowControl w:val="0"/>
            <w:tabs>
              <w:tab w:val="right" w:leader="dot" w:pos="6217"/>
            </w:tabs>
            <w:autoSpaceDE w:val="0"/>
            <w:autoSpaceDN w:val="0"/>
            <w:spacing w:before="237" w:after="0" w:line="240" w:lineRule="auto"/>
            <w:ind w:left="237"/>
            <w:rPr>
              <w:rFonts w:ascii="Century Gothic" w:eastAsia="Century Gothic" w:hAnsi="Century Gothic" w:cs="Century Gothic"/>
              <w:lang w:val="da-DK"/>
            </w:rPr>
          </w:pPr>
          <w:hyperlink w:anchor="_TOC_250003" w:history="1">
            <w:r w:rsidR="00190011" w:rsidRPr="00677C6A">
              <w:rPr>
                <w:rFonts w:ascii="Century Gothic" w:eastAsia="Century Gothic" w:hAnsi="Century Gothic" w:cs="Century Gothic"/>
              </w:rPr>
              <w:t xml:space="preserve">Perioperativ </w:t>
            </w:r>
            <w:proofErr w:type="spellStart"/>
            <w:r w:rsidR="00690979">
              <w:rPr>
                <w:rFonts w:ascii="Century Gothic" w:eastAsia="Century Gothic" w:hAnsi="Century Gothic" w:cs="Century Gothic"/>
              </w:rPr>
              <w:t>behandling</w:t>
            </w:r>
            <w:proofErr w:type="spellEnd"/>
            <w:r w:rsidR="00190011" w:rsidRPr="00677C6A">
              <w:rPr>
                <w:rFonts w:ascii="Century Gothic" w:eastAsia="Century Gothic" w:hAnsi="Century Gothic" w:cs="Century Gothic"/>
              </w:rPr>
              <w:tab/>
            </w:r>
            <w:r w:rsidR="00190011" w:rsidRPr="00677C6A">
              <w:rPr>
                <w:rFonts w:ascii="Century Gothic" w:eastAsia="Century Gothic" w:hAnsi="Century Gothic" w:cs="Century Gothic"/>
                <w:spacing w:val="-5"/>
              </w:rPr>
              <w:t>7</w:t>
            </w:r>
          </w:hyperlink>
        </w:p>
        <w:p w14:paraId="62E385EF" w14:textId="59C74E8E" w:rsidR="00190011" w:rsidRPr="009A11A6" w:rsidRDefault="003B18FA" w:rsidP="00190011">
          <w:pPr>
            <w:widowControl w:val="0"/>
            <w:tabs>
              <w:tab w:val="right" w:leader="dot" w:pos="6217"/>
            </w:tabs>
            <w:autoSpaceDE w:val="0"/>
            <w:autoSpaceDN w:val="0"/>
            <w:spacing w:before="237" w:after="0" w:line="240" w:lineRule="auto"/>
            <w:ind w:left="237"/>
            <w:rPr>
              <w:rFonts w:ascii="Century Gothic" w:eastAsia="Century Gothic" w:hAnsi="Century Gothic" w:cs="Century Gothic"/>
              <w:lang w:val="da-DK"/>
            </w:rPr>
          </w:pPr>
          <w:r w:rsidRPr="00FC2364">
            <w:rPr>
              <w:rFonts w:ascii="Century Gothic" w:hAnsi="Century Gothic"/>
            </w:rPr>
            <w:t xml:space="preserve">Koagulationstest </w:t>
          </w:r>
          <w:proofErr w:type="spellStart"/>
          <w:r w:rsidRPr="00FC2364">
            <w:rPr>
              <w:rFonts w:ascii="Century Gothic" w:hAnsi="Century Gothic"/>
            </w:rPr>
            <w:t>og</w:t>
          </w:r>
          <w:proofErr w:type="spellEnd"/>
          <w:r w:rsidRPr="00FC2364">
            <w:rPr>
              <w:rFonts w:ascii="Century Gothic" w:hAnsi="Century Gothic"/>
            </w:rPr>
            <w:t xml:space="preserve"> </w:t>
          </w:r>
          <w:proofErr w:type="spellStart"/>
          <w:r w:rsidRPr="00FC2364">
            <w:rPr>
              <w:rFonts w:ascii="Century Gothic" w:hAnsi="Century Gothic"/>
            </w:rPr>
            <w:t>deres</w:t>
          </w:r>
          <w:proofErr w:type="spellEnd"/>
          <w:r w:rsidRPr="00FC2364">
            <w:rPr>
              <w:rFonts w:ascii="Century Gothic" w:hAnsi="Century Gothic"/>
            </w:rPr>
            <w:t xml:space="preserve"> </w:t>
          </w:r>
          <w:proofErr w:type="spellStart"/>
          <w:r w:rsidRPr="00FC2364">
            <w:rPr>
              <w:rFonts w:ascii="Century Gothic" w:hAnsi="Century Gothic"/>
            </w:rPr>
            <w:t>tolkning</w:t>
          </w:r>
          <w:proofErr w:type="spellEnd"/>
          <w:r w:rsidR="0029767D">
            <w:fldChar w:fldCharType="begin"/>
          </w:r>
          <w:r w:rsidR="0029767D">
            <w:instrText>HYPERLINK \l "_TOC_250002"</w:instrText>
          </w:r>
          <w:r w:rsidR="0029767D">
            <w:fldChar w:fldCharType="separate"/>
          </w:r>
          <w:r w:rsidR="00190011" w:rsidRPr="00677C6A">
            <w:rPr>
              <w:rFonts w:ascii="Century Gothic" w:eastAsia="Century Gothic" w:hAnsi="Century Gothic" w:cs="Century Gothic"/>
            </w:rPr>
            <w:tab/>
          </w:r>
          <w:r w:rsidR="0029767D">
            <w:rPr>
              <w:rFonts w:ascii="Century Gothic" w:eastAsia="Century Gothic" w:hAnsi="Century Gothic" w:cs="Century Gothic"/>
            </w:rPr>
            <w:fldChar w:fldCharType="end"/>
          </w:r>
          <w:r>
            <w:rPr>
              <w:rFonts w:ascii="Century Gothic" w:eastAsia="Century Gothic" w:hAnsi="Century Gothic" w:cs="Century Gothic"/>
              <w:spacing w:val="-5"/>
            </w:rPr>
            <w:t>8</w:t>
          </w:r>
        </w:p>
        <w:p w14:paraId="65E87B83" w14:textId="77777777" w:rsidR="00496C36" w:rsidRPr="009A11A6" w:rsidRDefault="00190011" w:rsidP="00190011">
          <w:pPr>
            <w:widowControl w:val="0"/>
            <w:tabs>
              <w:tab w:val="right" w:leader="dot" w:pos="6217"/>
            </w:tabs>
            <w:autoSpaceDE w:val="0"/>
            <w:autoSpaceDN w:val="0"/>
            <w:spacing w:before="237" w:after="0" w:line="240" w:lineRule="auto"/>
            <w:ind w:left="237"/>
            <w:rPr>
              <w:rFonts w:ascii="Century Gothic" w:eastAsia="Century Gothic" w:hAnsi="Century Gothic" w:cs="Century Gothic"/>
              <w:spacing w:val="-5"/>
              <w:lang w:val="da-DK"/>
            </w:rPr>
          </w:pPr>
          <w:proofErr w:type="spellStart"/>
          <w:r w:rsidRPr="00677C6A">
            <w:rPr>
              <w:rFonts w:ascii="Century Gothic" w:eastAsia="Century Gothic" w:hAnsi="Century Gothic" w:cs="Century Gothic"/>
              <w:spacing w:val="-2"/>
            </w:rPr>
            <w:t>Overdosis</w:t>
          </w:r>
          <w:proofErr w:type="spellEnd"/>
          <w:r w:rsidRPr="00677C6A">
            <w:rPr>
              <w:rFonts w:ascii="Century Gothic" w:eastAsia="Century Gothic" w:hAnsi="Century Gothic" w:cs="Century Gothic"/>
            </w:rPr>
            <w:tab/>
          </w:r>
          <w:r w:rsidR="003B18FA">
            <w:rPr>
              <w:rFonts w:ascii="Century Gothic" w:eastAsia="Century Gothic" w:hAnsi="Century Gothic" w:cs="Century Gothic"/>
              <w:spacing w:val="-5"/>
            </w:rPr>
            <w:t>8</w:t>
          </w:r>
        </w:p>
        <w:p w14:paraId="110AC61F" w14:textId="43566EE1" w:rsidR="00190011" w:rsidRPr="009A11A6" w:rsidRDefault="00190011" w:rsidP="00190011">
          <w:pPr>
            <w:widowControl w:val="0"/>
            <w:tabs>
              <w:tab w:val="right" w:leader="dot" w:pos="6217"/>
            </w:tabs>
            <w:autoSpaceDE w:val="0"/>
            <w:autoSpaceDN w:val="0"/>
            <w:spacing w:before="237" w:after="0" w:line="240" w:lineRule="auto"/>
            <w:ind w:left="237"/>
            <w:rPr>
              <w:rFonts w:ascii="Century Gothic" w:eastAsia="Century Gothic" w:hAnsi="Century Gothic" w:cs="Century Gothic"/>
              <w:lang w:val="da-DK"/>
            </w:rPr>
          </w:pPr>
          <w:proofErr w:type="spellStart"/>
          <w:r w:rsidRPr="00677C6A">
            <w:rPr>
              <w:rFonts w:ascii="Century Gothic" w:eastAsia="Century Gothic" w:hAnsi="Century Gothic" w:cs="Century Gothic"/>
            </w:rPr>
            <w:t>Håndtering</w:t>
          </w:r>
          <w:proofErr w:type="spellEnd"/>
          <w:r w:rsidRPr="00677C6A">
            <w:rPr>
              <w:rFonts w:ascii="Century Gothic" w:eastAsia="Century Gothic" w:hAnsi="Century Gothic" w:cs="Century Gothic"/>
            </w:rPr>
            <w:t xml:space="preserve"> </w:t>
          </w:r>
          <w:proofErr w:type="spellStart"/>
          <w:r w:rsidRPr="00677C6A">
            <w:rPr>
              <w:rFonts w:ascii="Century Gothic" w:eastAsia="Century Gothic" w:hAnsi="Century Gothic" w:cs="Century Gothic"/>
            </w:rPr>
            <w:t>af</w:t>
          </w:r>
          <w:proofErr w:type="spellEnd"/>
          <w:r w:rsidRPr="00677C6A">
            <w:rPr>
              <w:rFonts w:ascii="Century Gothic" w:eastAsia="Century Gothic" w:hAnsi="Century Gothic" w:cs="Century Gothic"/>
            </w:rPr>
            <w:t xml:space="preserve"> </w:t>
          </w:r>
          <w:proofErr w:type="spellStart"/>
          <w:r w:rsidRPr="00677C6A">
            <w:rPr>
              <w:rFonts w:ascii="Century Gothic" w:eastAsia="Century Gothic" w:hAnsi="Century Gothic" w:cs="Century Gothic"/>
            </w:rPr>
            <w:t>blødningskomplikationer</w:t>
          </w:r>
          <w:proofErr w:type="spellEnd"/>
          <w:r w:rsidRPr="00677C6A">
            <w:rPr>
              <w:rFonts w:ascii="Century Gothic" w:eastAsia="Century Gothic" w:hAnsi="Century Gothic" w:cs="Century Gothic"/>
            </w:rPr>
            <w:tab/>
          </w:r>
          <w:r w:rsidR="003B18FA">
            <w:rPr>
              <w:rFonts w:ascii="Century Gothic" w:eastAsia="Century Gothic" w:hAnsi="Century Gothic" w:cs="Century Gothic"/>
              <w:spacing w:val="-5"/>
            </w:rPr>
            <w:t>8</w:t>
          </w:r>
        </w:p>
        <w:p w14:paraId="655F3DBE" w14:textId="72C9C915" w:rsidR="00190011" w:rsidRDefault="0029767D" w:rsidP="00190011">
          <w:pPr>
            <w:widowControl w:val="0"/>
            <w:tabs>
              <w:tab w:val="right" w:leader="dot" w:pos="6217"/>
            </w:tabs>
            <w:autoSpaceDE w:val="0"/>
            <w:autoSpaceDN w:val="0"/>
            <w:spacing w:before="237" w:after="0" w:line="240" w:lineRule="auto"/>
            <w:ind w:left="237"/>
            <w:rPr>
              <w:rFonts w:ascii="Century Gothic" w:eastAsia="Century Gothic" w:hAnsi="Century Gothic" w:cs="Century Gothic"/>
              <w:spacing w:val="-5"/>
            </w:rPr>
          </w:pPr>
          <w:hyperlink w:anchor="_TOC_250001" w:history="1">
            <w:proofErr w:type="spellStart"/>
            <w:r w:rsidR="00190011" w:rsidRPr="00677C6A">
              <w:rPr>
                <w:rFonts w:ascii="Century Gothic" w:eastAsia="Century Gothic" w:hAnsi="Century Gothic" w:cs="Century Gothic"/>
              </w:rPr>
              <w:t>Patientkort</w:t>
            </w:r>
            <w:proofErr w:type="spellEnd"/>
            <w:r w:rsidR="00190011" w:rsidRPr="00677C6A"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 w:rsidR="00190011" w:rsidRPr="00677C6A">
              <w:rPr>
                <w:rFonts w:ascii="Century Gothic" w:eastAsia="Century Gothic" w:hAnsi="Century Gothic" w:cs="Century Gothic"/>
              </w:rPr>
              <w:t>og</w:t>
            </w:r>
            <w:proofErr w:type="spellEnd"/>
            <w:r w:rsidR="00190011" w:rsidRPr="00677C6A"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 w:rsidR="00190011" w:rsidRPr="00677C6A">
              <w:rPr>
                <w:rFonts w:ascii="Century Gothic" w:eastAsia="Century Gothic" w:hAnsi="Century Gothic" w:cs="Century Gothic"/>
              </w:rPr>
              <w:t>patientrådgivning</w:t>
            </w:r>
            <w:proofErr w:type="spellEnd"/>
            <w:r w:rsidR="00190011" w:rsidRPr="00677C6A">
              <w:rPr>
                <w:rFonts w:ascii="Century Gothic" w:eastAsia="Century Gothic" w:hAnsi="Century Gothic" w:cs="Century Gothic"/>
              </w:rPr>
              <w:tab/>
            </w:r>
          </w:hyperlink>
          <w:r w:rsidR="00496C36">
            <w:rPr>
              <w:rFonts w:ascii="Century Gothic" w:eastAsia="Century Gothic" w:hAnsi="Century Gothic" w:cs="Century Gothic"/>
              <w:spacing w:val="-5"/>
            </w:rPr>
            <w:t>8</w:t>
          </w:r>
        </w:p>
        <w:p w14:paraId="1965F889" w14:textId="057D7BBF" w:rsidR="00A21DD3" w:rsidRPr="00D30707" w:rsidRDefault="00A21DD3" w:rsidP="00190011">
          <w:pPr>
            <w:widowControl w:val="0"/>
            <w:tabs>
              <w:tab w:val="right" w:leader="dot" w:pos="6217"/>
            </w:tabs>
            <w:autoSpaceDE w:val="0"/>
            <w:autoSpaceDN w:val="0"/>
            <w:spacing w:before="237" w:after="0" w:line="240" w:lineRule="auto"/>
            <w:ind w:left="237"/>
            <w:rPr>
              <w:rFonts w:ascii="Century Gothic" w:eastAsia="Century Gothic" w:hAnsi="Century Gothic" w:cs="Century Gothic"/>
              <w:spacing w:val="-5"/>
              <w:lang w:val="da-DK"/>
            </w:rPr>
          </w:pPr>
          <w:proofErr w:type="spellStart"/>
          <w:r w:rsidRPr="00D30707">
            <w:rPr>
              <w:rFonts w:ascii="Century Gothic" w:eastAsia="Century Gothic" w:hAnsi="Century Gothic" w:cs="Century Gothic"/>
              <w:spacing w:val="-5"/>
            </w:rPr>
            <w:t>Indberetning</w:t>
          </w:r>
          <w:proofErr w:type="spellEnd"/>
          <w:r w:rsidRPr="00D30707">
            <w:rPr>
              <w:rFonts w:ascii="Century Gothic" w:eastAsia="Century Gothic" w:hAnsi="Century Gothic" w:cs="Century Gothic"/>
              <w:spacing w:val="-5"/>
            </w:rPr>
            <w:t xml:space="preserve"> </w:t>
          </w:r>
          <w:proofErr w:type="spellStart"/>
          <w:r w:rsidRPr="00D30707">
            <w:rPr>
              <w:rFonts w:ascii="Century Gothic" w:eastAsia="Century Gothic" w:hAnsi="Century Gothic" w:cs="Century Gothic"/>
              <w:spacing w:val="-5"/>
            </w:rPr>
            <w:t>af</w:t>
          </w:r>
          <w:proofErr w:type="spellEnd"/>
          <w:r w:rsidRPr="00D30707">
            <w:rPr>
              <w:rFonts w:ascii="Century Gothic" w:eastAsia="Century Gothic" w:hAnsi="Century Gothic" w:cs="Century Gothic"/>
              <w:spacing w:val="-5"/>
            </w:rPr>
            <w:t xml:space="preserve"> </w:t>
          </w:r>
          <w:proofErr w:type="spellStart"/>
          <w:r w:rsidRPr="00D30707">
            <w:rPr>
              <w:rFonts w:ascii="Century Gothic" w:eastAsia="Century Gothic" w:hAnsi="Century Gothic" w:cs="Century Gothic"/>
              <w:spacing w:val="-5"/>
            </w:rPr>
            <w:t>bivirkninger</w:t>
          </w:r>
          <w:proofErr w:type="spellEnd"/>
          <w:r w:rsidRPr="00D30707">
            <w:rPr>
              <w:rFonts w:ascii="Century Gothic" w:eastAsia="Century Gothic" w:hAnsi="Century Gothic" w:cs="Century Gothic"/>
              <w:spacing w:val="-5"/>
              <w:lang w:val="da-DK"/>
            </w:rPr>
            <w:tab/>
            <w:t>9</w:t>
          </w:r>
        </w:p>
        <w:p w14:paraId="5E4EACF5" w14:textId="33482BEC" w:rsidR="00190011" w:rsidRPr="009A11A6" w:rsidRDefault="0029767D" w:rsidP="00190011">
          <w:pPr>
            <w:widowControl w:val="0"/>
            <w:tabs>
              <w:tab w:val="right" w:leader="dot" w:pos="6217"/>
            </w:tabs>
            <w:autoSpaceDE w:val="0"/>
            <w:autoSpaceDN w:val="0"/>
            <w:spacing w:before="237" w:after="0" w:line="240" w:lineRule="auto"/>
            <w:ind w:left="237"/>
            <w:rPr>
              <w:rFonts w:ascii="Century Gothic" w:eastAsia="Century Gothic" w:hAnsi="Century Gothic" w:cs="Century Gothic"/>
              <w:lang w:val="da-DK"/>
            </w:rPr>
          </w:pPr>
          <w:hyperlink w:anchor="_TOC_250000" w:history="1">
            <w:proofErr w:type="spellStart"/>
            <w:r w:rsidR="00190011" w:rsidRPr="00677C6A">
              <w:rPr>
                <w:rFonts w:ascii="Century Gothic" w:eastAsia="Century Gothic" w:hAnsi="Century Gothic" w:cs="Century Gothic"/>
                <w:spacing w:val="-2"/>
              </w:rPr>
              <w:t>Referencer</w:t>
            </w:r>
            <w:proofErr w:type="spellEnd"/>
            <w:r w:rsidR="00190011" w:rsidRPr="00677C6A">
              <w:rPr>
                <w:rFonts w:ascii="Century Gothic" w:eastAsia="Century Gothic" w:hAnsi="Century Gothic" w:cs="Century Gothic"/>
              </w:rPr>
              <w:tab/>
            </w:r>
          </w:hyperlink>
          <w:r w:rsidR="00496C36">
            <w:rPr>
              <w:rFonts w:ascii="Century Gothic" w:eastAsia="Century Gothic" w:hAnsi="Century Gothic" w:cs="Century Gothic"/>
              <w:spacing w:val="-5"/>
            </w:rPr>
            <w:t>10</w:t>
          </w:r>
        </w:p>
      </w:sdtContent>
    </w:sdt>
    <w:p w14:paraId="0B4E25B9" w14:textId="77777777" w:rsidR="00190011" w:rsidRPr="009A11A6" w:rsidRDefault="00190011" w:rsidP="00190011">
      <w:pPr>
        <w:widowControl w:val="0"/>
        <w:autoSpaceDE w:val="0"/>
        <w:autoSpaceDN w:val="0"/>
        <w:spacing w:after="0" w:line="240" w:lineRule="auto"/>
        <w:rPr>
          <w:rFonts w:ascii="Century Gothic" w:eastAsia="Century Gothic" w:hAnsi="Century Gothic" w:cs="Century Gothic"/>
          <w:sz w:val="20"/>
          <w:lang w:val="da-DK"/>
        </w:rPr>
      </w:pPr>
    </w:p>
    <w:p w14:paraId="74F57B16" w14:textId="77777777" w:rsidR="00190011" w:rsidRPr="009A11A6" w:rsidRDefault="00190011">
      <w:pPr>
        <w:rPr>
          <w:b/>
          <w:bCs/>
          <w:lang w:val="da-DK"/>
        </w:rPr>
      </w:pPr>
    </w:p>
    <w:p w14:paraId="7070D1D2" w14:textId="77777777" w:rsidR="00836CA0" w:rsidRPr="009A11A6" w:rsidRDefault="00836CA0">
      <w:pPr>
        <w:rPr>
          <w:b/>
          <w:bCs/>
          <w:lang w:val="da-DK"/>
        </w:rPr>
      </w:pPr>
    </w:p>
    <w:p w14:paraId="298D168F" w14:textId="77777777" w:rsidR="00836CA0" w:rsidRPr="009A11A6" w:rsidRDefault="00836CA0">
      <w:pPr>
        <w:rPr>
          <w:b/>
          <w:bCs/>
          <w:lang w:val="da-DK"/>
        </w:rPr>
      </w:pPr>
    </w:p>
    <w:p w14:paraId="0EEE5B9B" w14:textId="77777777" w:rsidR="00836CA0" w:rsidRPr="009A11A6" w:rsidRDefault="00836CA0">
      <w:pPr>
        <w:rPr>
          <w:b/>
          <w:bCs/>
          <w:lang w:val="da-DK"/>
        </w:rPr>
      </w:pPr>
    </w:p>
    <w:p w14:paraId="2CA4D894" w14:textId="77777777" w:rsidR="00836CA0" w:rsidRPr="009A11A6" w:rsidRDefault="00836CA0">
      <w:pPr>
        <w:rPr>
          <w:b/>
          <w:bCs/>
          <w:lang w:val="da-DK"/>
        </w:rPr>
      </w:pPr>
    </w:p>
    <w:p w14:paraId="137AD629" w14:textId="77777777" w:rsidR="00836CA0" w:rsidRPr="009A11A6" w:rsidRDefault="00836CA0">
      <w:pPr>
        <w:rPr>
          <w:b/>
          <w:bCs/>
          <w:lang w:val="da-DK"/>
        </w:rPr>
      </w:pPr>
    </w:p>
    <w:p w14:paraId="72928036" w14:textId="77777777" w:rsidR="00836CA0" w:rsidRPr="009A11A6" w:rsidRDefault="00836CA0">
      <w:pPr>
        <w:rPr>
          <w:b/>
          <w:bCs/>
          <w:lang w:val="da-DK"/>
        </w:rPr>
      </w:pPr>
    </w:p>
    <w:p w14:paraId="3EC3B374" w14:textId="77777777" w:rsidR="00836CA0" w:rsidRPr="009A11A6" w:rsidRDefault="00836CA0">
      <w:pPr>
        <w:rPr>
          <w:b/>
          <w:bCs/>
          <w:lang w:val="da-DK"/>
        </w:rPr>
      </w:pPr>
    </w:p>
    <w:p w14:paraId="0E0C2456" w14:textId="77777777" w:rsidR="00836CA0" w:rsidRPr="009A11A6" w:rsidRDefault="00836CA0" w:rsidP="00836CA0">
      <w:pPr>
        <w:rPr>
          <w:b/>
          <w:bCs/>
          <w:sz w:val="24"/>
          <w:szCs w:val="24"/>
          <w:lang w:val="da-DK"/>
        </w:rPr>
      </w:pPr>
    </w:p>
    <w:p w14:paraId="33BE584C" w14:textId="77777777" w:rsidR="00836CA0" w:rsidRPr="009A11A6" w:rsidRDefault="00836CA0" w:rsidP="00836CA0">
      <w:pPr>
        <w:rPr>
          <w:b/>
          <w:bCs/>
          <w:sz w:val="24"/>
          <w:szCs w:val="24"/>
          <w:lang w:val="da-DK"/>
        </w:rPr>
      </w:pPr>
    </w:p>
    <w:p w14:paraId="15DE25D2" w14:textId="6E19D3BE" w:rsidR="00836CA0" w:rsidRPr="009A11A6" w:rsidRDefault="00836CA0" w:rsidP="00836CA0">
      <w:pPr>
        <w:rPr>
          <w:b/>
          <w:bCs/>
          <w:sz w:val="24"/>
          <w:szCs w:val="24"/>
          <w:lang w:val="da-DK"/>
        </w:rPr>
      </w:pPr>
      <w:proofErr w:type="spellStart"/>
      <w:r w:rsidRPr="00677C6A">
        <w:rPr>
          <w:b/>
          <w:bCs/>
          <w:sz w:val="24"/>
          <w:szCs w:val="24"/>
        </w:rPr>
        <w:t>Følg</w:t>
      </w:r>
      <w:proofErr w:type="spellEnd"/>
      <w:r w:rsidRPr="00677C6A">
        <w:rPr>
          <w:b/>
          <w:bCs/>
          <w:sz w:val="24"/>
          <w:szCs w:val="24"/>
        </w:rPr>
        <w:t xml:space="preserve"> </w:t>
      </w:r>
      <w:proofErr w:type="spellStart"/>
      <w:r w:rsidR="00B20CEF">
        <w:rPr>
          <w:b/>
          <w:bCs/>
          <w:sz w:val="24"/>
          <w:szCs w:val="24"/>
        </w:rPr>
        <w:t>venligst</w:t>
      </w:r>
      <w:proofErr w:type="spellEnd"/>
      <w:r w:rsidR="00B20CEF">
        <w:rPr>
          <w:b/>
          <w:bCs/>
          <w:sz w:val="24"/>
          <w:szCs w:val="24"/>
        </w:rPr>
        <w:t xml:space="preserve"> </w:t>
      </w:r>
      <w:proofErr w:type="spellStart"/>
      <w:r w:rsidRPr="00677C6A">
        <w:rPr>
          <w:b/>
          <w:bCs/>
          <w:sz w:val="24"/>
          <w:szCs w:val="24"/>
        </w:rPr>
        <w:t>disse</w:t>
      </w:r>
      <w:proofErr w:type="spellEnd"/>
      <w:r w:rsidRPr="00677C6A">
        <w:rPr>
          <w:b/>
          <w:bCs/>
          <w:sz w:val="24"/>
          <w:szCs w:val="24"/>
        </w:rPr>
        <w:t xml:space="preserve"> </w:t>
      </w:r>
      <w:proofErr w:type="spellStart"/>
      <w:r w:rsidRPr="00677C6A">
        <w:rPr>
          <w:b/>
          <w:bCs/>
          <w:sz w:val="24"/>
          <w:szCs w:val="24"/>
        </w:rPr>
        <w:t>sikkerhedsinstruktioner</w:t>
      </w:r>
      <w:proofErr w:type="spellEnd"/>
      <w:r w:rsidRPr="00677C6A">
        <w:rPr>
          <w:b/>
          <w:bCs/>
          <w:sz w:val="24"/>
          <w:szCs w:val="24"/>
        </w:rPr>
        <w:t xml:space="preserve"> </w:t>
      </w:r>
      <w:proofErr w:type="spellStart"/>
      <w:r w:rsidRPr="00677C6A">
        <w:rPr>
          <w:b/>
          <w:bCs/>
          <w:sz w:val="24"/>
          <w:szCs w:val="24"/>
        </w:rPr>
        <w:t>ud</w:t>
      </w:r>
      <w:proofErr w:type="spellEnd"/>
      <w:r w:rsidRPr="00677C6A">
        <w:rPr>
          <w:b/>
          <w:bCs/>
          <w:sz w:val="24"/>
          <w:szCs w:val="24"/>
        </w:rPr>
        <w:t xml:space="preserve"> </w:t>
      </w:r>
      <w:proofErr w:type="spellStart"/>
      <w:r w:rsidRPr="00677C6A">
        <w:rPr>
          <w:b/>
          <w:bCs/>
          <w:sz w:val="24"/>
          <w:szCs w:val="24"/>
        </w:rPr>
        <w:t>over</w:t>
      </w:r>
      <w:proofErr w:type="spellEnd"/>
      <w:r w:rsidRPr="00677C6A">
        <w:rPr>
          <w:b/>
          <w:bCs/>
          <w:sz w:val="24"/>
          <w:szCs w:val="24"/>
        </w:rPr>
        <w:t xml:space="preserve"> </w:t>
      </w:r>
      <w:proofErr w:type="spellStart"/>
      <w:r w:rsidR="00B20CEF">
        <w:rPr>
          <w:b/>
          <w:bCs/>
          <w:sz w:val="24"/>
          <w:szCs w:val="24"/>
        </w:rPr>
        <w:t>godkendt</w:t>
      </w:r>
      <w:proofErr w:type="spellEnd"/>
      <w:r w:rsidR="00B20CEF">
        <w:rPr>
          <w:b/>
          <w:bCs/>
          <w:sz w:val="24"/>
          <w:szCs w:val="24"/>
        </w:rPr>
        <w:t xml:space="preserve"> </w:t>
      </w:r>
      <w:proofErr w:type="spellStart"/>
      <w:r w:rsidR="00B20CEF">
        <w:rPr>
          <w:b/>
          <w:bCs/>
          <w:sz w:val="24"/>
          <w:szCs w:val="24"/>
        </w:rPr>
        <w:t>produktresume</w:t>
      </w:r>
      <w:proofErr w:type="spellEnd"/>
      <w:r w:rsidRPr="00677C6A">
        <w:rPr>
          <w:b/>
          <w:bCs/>
          <w:sz w:val="24"/>
          <w:szCs w:val="24"/>
        </w:rPr>
        <w:t xml:space="preserve"> </w:t>
      </w:r>
      <w:r w:rsidRPr="00677C6A">
        <w:rPr>
          <w:b/>
          <w:bCs/>
          <w:sz w:val="24"/>
          <w:szCs w:val="24"/>
          <w:vertAlign w:val="superscript"/>
        </w:rPr>
        <w:t>1</w:t>
      </w:r>
    </w:p>
    <w:p w14:paraId="15972C7A" w14:textId="63920C79" w:rsidR="00190011" w:rsidRPr="009A11A6" w:rsidRDefault="00190011">
      <w:pPr>
        <w:rPr>
          <w:b/>
          <w:bCs/>
          <w:lang w:val="da-DK"/>
        </w:rPr>
      </w:pPr>
      <w:r w:rsidRPr="00677C6A">
        <w:rPr>
          <w:b/>
          <w:bCs/>
        </w:rPr>
        <w:br w:type="page"/>
      </w:r>
    </w:p>
    <w:p w14:paraId="24E9D65F" w14:textId="73D547AC" w:rsidR="00C52B21" w:rsidRPr="009A11A6" w:rsidRDefault="00C52B21" w:rsidP="00C52B21">
      <w:pPr>
        <w:rPr>
          <w:b/>
          <w:bCs/>
          <w:sz w:val="28"/>
          <w:szCs w:val="28"/>
          <w:lang w:val="da-DK"/>
        </w:rPr>
      </w:pPr>
      <w:proofErr w:type="spellStart"/>
      <w:r w:rsidRPr="00677C6A">
        <w:rPr>
          <w:b/>
          <w:bCs/>
          <w:sz w:val="28"/>
          <w:szCs w:val="28"/>
        </w:rPr>
        <w:lastRenderedPageBreak/>
        <w:t>Indikationer</w:t>
      </w:r>
      <w:proofErr w:type="spellEnd"/>
    </w:p>
    <w:p w14:paraId="14295B56" w14:textId="1B6C9415" w:rsidR="009C76CA" w:rsidRPr="009A11A6" w:rsidRDefault="00882603" w:rsidP="00C52B21">
      <w:pPr>
        <w:rPr>
          <w:b/>
          <w:bCs/>
          <w:sz w:val="28"/>
          <w:szCs w:val="28"/>
          <w:lang w:val="da-DK"/>
        </w:rPr>
      </w:pPr>
      <w:proofErr w:type="spellStart"/>
      <w:r w:rsidRPr="00677C6A">
        <w:t>Behandling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venøse</w:t>
      </w:r>
      <w:proofErr w:type="spellEnd"/>
      <w:r w:rsidRPr="00677C6A">
        <w:t xml:space="preserve"> </w:t>
      </w:r>
      <w:proofErr w:type="spellStart"/>
      <w:r w:rsidRPr="00677C6A">
        <w:t>tromboemboliske</w:t>
      </w:r>
      <w:proofErr w:type="spellEnd"/>
      <w:r w:rsidRPr="00677C6A">
        <w:t xml:space="preserve"> </w:t>
      </w:r>
      <w:proofErr w:type="spellStart"/>
      <w:r w:rsidRPr="00677C6A">
        <w:t>hændelser</w:t>
      </w:r>
      <w:proofErr w:type="spellEnd"/>
      <w:r w:rsidRPr="00677C6A">
        <w:t xml:space="preserve"> (VTE)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forebyggelse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recidiverende</w:t>
      </w:r>
      <w:proofErr w:type="spellEnd"/>
      <w:r w:rsidRPr="00677C6A">
        <w:t xml:space="preserve"> VTE </w:t>
      </w:r>
      <w:proofErr w:type="spellStart"/>
      <w:r w:rsidRPr="00677C6A">
        <w:t>hos</w:t>
      </w:r>
      <w:proofErr w:type="spellEnd"/>
      <w:r w:rsidRPr="00677C6A">
        <w:t xml:space="preserve"> </w:t>
      </w:r>
      <w:proofErr w:type="spellStart"/>
      <w:r w:rsidRPr="00677C6A">
        <w:t>børn</w:t>
      </w:r>
      <w:proofErr w:type="spellEnd"/>
      <w:r w:rsidRPr="00677C6A">
        <w:t xml:space="preserve">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unge</w:t>
      </w:r>
      <w:proofErr w:type="spellEnd"/>
      <w:r w:rsidRPr="00677C6A">
        <w:t xml:space="preserve"> </w:t>
      </w:r>
      <w:proofErr w:type="spellStart"/>
      <w:r w:rsidRPr="00677C6A">
        <w:t>fra</w:t>
      </w:r>
      <w:proofErr w:type="spellEnd"/>
      <w:r w:rsidRPr="00677C6A">
        <w:t xml:space="preserve"> </w:t>
      </w:r>
      <w:proofErr w:type="spellStart"/>
      <w:r w:rsidRPr="00677C6A">
        <w:t>fødsel</w:t>
      </w:r>
      <w:proofErr w:type="spellEnd"/>
      <w:r w:rsidRPr="00677C6A">
        <w:t xml:space="preserve"> </w:t>
      </w:r>
      <w:proofErr w:type="spellStart"/>
      <w:r w:rsidRPr="00677C6A">
        <w:t>til</w:t>
      </w:r>
      <w:proofErr w:type="spellEnd"/>
      <w:r w:rsidRPr="00677C6A">
        <w:t xml:space="preserve"> </w:t>
      </w:r>
      <w:proofErr w:type="spellStart"/>
      <w:r w:rsidRPr="00677C6A">
        <w:t>under</w:t>
      </w:r>
      <w:proofErr w:type="spellEnd"/>
      <w:r w:rsidRPr="00677C6A">
        <w:t xml:space="preserve"> 18 </w:t>
      </w:r>
      <w:proofErr w:type="spellStart"/>
      <w:r w:rsidRPr="00677C6A">
        <w:t>år</w:t>
      </w:r>
      <w:proofErr w:type="spellEnd"/>
      <w:r w:rsidRPr="00677C6A">
        <w:t>.</w:t>
      </w:r>
    </w:p>
    <w:p w14:paraId="79E20305" w14:textId="77777777" w:rsidR="00882603" w:rsidRPr="009A11A6" w:rsidRDefault="00882603" w:rsidP="00C52B21">
      <w:pPr>
        <w:rPr>
          <w:b/>
          <w:bCs/>
          <w:sz w:val="28"/>
          <w:szCs w:val="28"/>
          <w:lang w:val="da-DK"/>
        </w:rPr>
      </w:pPr>
    </w:p>
    <w:p w14:paraId="6CAAAFAE" w14:textId="6E9AE148" w:rsidR="00C52B21" w:rsidRPr="009A11A6" w:rsidRDefault="00C52B21" w:rsidP="00C52B21">
      <w:pPr>
        <w:rPr>
          <w:b/>
          <w:bCs/>
          <w:sz w:val="28"/>
          <w:szCs w:val="28"/>
          <w:lang w:val="da-DK"/>
        </w:rPr>
      </w:pPr>
      <w:proofErr w:type="spellStart"/>
      <w:r w:rsidRPr="00294C51">
        <w:rPr>
          <w:b/>
          <w:bCs/>
          <w:sz w:val="28"/>
          <w:szCs w:val="28"/>
        </w:rPr>
        <w:t>Kontraindikationer</w:t>
      </w:r>
      <w:proofErr w:type="spellEnd"/>
    </w:p>
    <w:p w14:paraId="6B22A5BD" w14:textId="28645727" w:rsidR="00C52B21" w:rsidRPr="009A11A6" w:rsidRDefault="007B60F3" w:rsidP="00C52B21">
      <w:pPr>
        <w:rPr>
          <w:lang w:val="da-DK"/>
        </w:rPr>
      </w:pPr>
      <w:r w:rsidRPr="00294C51">
        <w:t xml:space="preserve">• </w:t>
      </w:r>
      <w:proofErr w:type="spellStart"/>
      <w:r w:rsidRPr="00294C51">
        <w:t>Overfølsomhed</w:t>
      </w:r>
      <w:proofErr w:type="spellEnd"/>
      <w:r w:rsidRPr="00294C51">
        <w:t xml:space="preserve"> </w:t>
      </w:r>
      <w:proofErr w:type="spellStart"/>
      <w:r w:rsidRPr="00294C51">
        <w:t>over</w:t>
      </w:r>
      <w:proofErr w:type="spellEnd"/>
      <w:r w:rsidRPr="00294C51">
        <w:t xml:space="preserve"> </w:t>
      </w:r>
      <w:proofErr w:type="spellStart"/>
      <w:r w:rsidRPr="00294C51">
        <w:t>for</w:t>
      </w:r>
      <w:proofErr w:type="spellEnd"/>
      <w:r w:rsidRPr="00294C51">
        <w:t xml:space="preserve"> </w:t>
      </w:r>
      <w:proofErr w:type="spellStart"/>
      <w:r w:rsidRPr="00294C51">
        <w:t>de</w:t>
      </w:r>
      <w:r w:rsidR="00493CAB">
        <w:t>t</w:t>
      </w:r>
      <w:proofErr w:type="spellEnd"/>
      <w:r w:rsidRPr="00294C51">
        <w:t xml:space="preserve"> aktive </w:t>
      </w:r>
      <w:proofErr w:type="spellStart"/>
      <w:r w:rsidR="00493CAB">
        <w:t>stof</w:t>
      </w:r>
      <w:proofErr w:type="spellEnd"/>
      <w:r w:rsidR="00493CAB" w:rsidRPr="00294C51">
        <w:t xml:space="preserve"> </w:t>
      </w:r>
      <w:proofErr w:type="spellStart"/>
      <w:r w:rsidRPr="00294C51">
        <w:t>eller</w:t>
      </w:r>
      <w:proofErr w:type="spellEnd"/>
      <w:r w:rsidRPr="00294C51">
        <w:t xml:space="preserve"> andre </w:t>
      </w:r>
      <w:proofErr w:type="spellStart"/>
      <w:r w:rsidRPr="00294C51">
        <w:t>indholdsstoffer</w:t>
      </w:r>
      <w:proofErr w:type="spellEnd"/>
    </w:p>
    <w:p w14:paraId="2B3D237F" w14:textId="10C41323" w:rsidR="00C52B21" w:rsidRPr="009A11A6" w:rsidRDefault="007B60F3" w:rsidP="00C52B21">
      <w:pPr>
        <w:rPr>
          <w:lang w:val="da-DK"/>
        </w:rPr>
      </w:pPr>
      <w:r w:rsidRPr="00294C51">
        <w:t xml:space="preserve">• </w:t>
      </w:r>
      <w:proofErr w:type="spellStart"/>
      <w:r w:rsidRPr="00294C51">
        <w:t>eGFR</w:t>
      </w:r>
      <w:proofErr w:type="spellEnd"/>
      <w:r w:rsidRPr="00294C51">
        <w:t xml:space="preserve"> &lt; 50 ml/min/1,73 m2</w:t>
      </w:r>
    </w:p>
    <w:p w14:paraId="63877EE6" w14:textId="58652745" w:rsidR="00C52B21" w:rsidRPr="009A11A6" w:rsidRDefault="007B60F3" w:rsidP="00C52B21">
      <w:pPr>
        <w:rPr>
          <w:lang w:val="da-DK"/>
        </w:rPr>
      </w:pPr>
      <w:r w:rsidRPr="00294C51">
        <w:t xml:space="preserve">• Akut, </w:t>
      </w:r>
      <w:proofErr w:type="spellStart"/>
      <w:r w:rsidRPr="00294C51">
        <w:t>klinisk</w:t>
      </w:r>
      <w:proofErr w:type="spellEnd"/>
      <w:r w:rsidRPr="00294C51">
        <w:t xml:space="preserve"> relevant </w:t>
      </w:r>
      <w:proofErr w:type="spellStart"/>
      <w:r w:rsidRPr="00294C51">
        <w:t>blødning</w:t>
      </w:r>
      <w:proofErr w:type="spellEnd"/>
    </w:p>
    <w:p w14:paraId="601C2D7F" w14:textId="12939DB7" w:rsidR="00C52B21" w:rsidRPr="009A11A6" w:rsidRDefault="007B60F3" w:rsidP="00C52B21">
      <w:pPr>
        <w:rPr>
          <w:lang w:val="da-DK"/>
        </w:rPr>
      </w:pPr>
      <w:r w:rsidRPr="00294C51">
        <w:t xml:space="preserve">• </w:t>
      </w:r>
      <w:proofErr w:type="spellStart"/>
      <w:r w:rsidRPr="00294C51">
        <w:t>Læsioner</w:t>
      </w:r>
      <w:proofErr w:type="spellEnd"/>
      <w:r w:rsidRPr="00294C51">
        <w:t xml:space="preserve"> </w:t>
      </w:r>
      <w:proofErr w:type="spellStart"/>
      <w:r w:rsidRPr="00294C51">
        <w:t>eller</w:t>
      </w:r>
      <w:proofErr w:type="spellEnd"/>
      <w:r w:rsidRPr="00294C51">
        <w:t xml:space="preserve"> </w:t>
      </w:r>
      <w:proofErr w:type="spellStart"/>
      <w:r w:rsidRPr="00294C51">
        <w:t>kliniske</w:t>
      </w:r>
      <w:proofErr w:type="spellEnd"/>
      <w:r w:rsidRPr="00294C51">
        <w:t xml:space="preserve"> </w:t>
      </w:r>
      <w:proofErr w:type="spellStart"/>
      <w:r w:rsidRPr="00294C51">
        <w:t>situationer</w:t>
      </w:r>
      <w:proofErr w:type="spellEnd"/>
      <w:r w:rsidRPr="00294C51">
        <w:t xml:space="preserve">, der </w:t>
      </w:r>
      <w:proofErr w:type="spellStart"/>
      <w:r w:rsidRPr="00294C51">
        <w:t>betragtes</w:t>
      </w:r>
      <w:proofErr w:type="spellEnd"/>
      <w:r w:rsidRPr="00294C51">
        <w:t xml:space="preserve"> </w:t>
      </w:r>
      <w:proofErr w:type="spellStart"/>
      <w:r w:rsidRPr="00294C51">
        <w:t>som</w:t>
      </w:r>
      <w:proofErr w:type="spellEnd"/>
      <w:r w:rsidRPr="00294C51">
        <w:t xml:space="preserve"> en </w:t>
      </w:r>
      <w:proofErr w:type="spellStart"/>
      <w:r w:rsidRPr="00294C51">
        <w:t>væsentlig</w:t>
      </w:r>
      <w:proofErr w:type="spellEnd"/>
      <w:r w:rsidRPr="00294C51">
        <w:t xml:space="preserve"> </w:t>
      </w:r>
      <w:proofErr w:type="spellStart"/>
      <w:r w:rsidRPr="00294C51">
        <w:t>risikofaktor</w:t>
      </w:r>
      <w:proofErr w:type="spellEnd"/>
      <w:r w:rsidRPr="00294C51">
        <w:t xml:space="preserve"> </w:t>
      </w:r>
      <w:proofErr w:type="spellStart"/>
      <w:r w:rsidRPr="00294C51">
        <w:t>for</w:t>
      </w:r>
      <w:proofErr w:type="spellEnd"/>
      <w:r w:rsidRPr="00294C51">
        <w:t xml:space="preserve"> </w:t>
      </w:r>
      <w:proofErr w:type="spellStart"/>
      <w:r w:rsidRPr="00294C51">
        <w:t>større</w:t>
      </w:r>
      <w:proofErr w:type="spellEnd"/>
      <w:r w:rsidRPr="00294C51">
        <w:t xml:space="preserve"> </w:t>
      </w:r>
      <w:proofErr w:type="spellStart"/>
      <w:r w:rsidRPr="00294C51">
        <w:t>blødninger</w:t>
      </w:r>
      <w:proofErr w:type="spellEnd"/>
      <w:r w:rsidRPr="00294C51">
        <w:t xml:space="preserve">. </w:t>
      </w:r>
      <w:proofErr w:type="spellStart"/>
      <w:r w:rsidRPr="00294C51">
        <w:t>Det</w:t>
      </w:r>
      <w:proofErr w:type="spellEnd"/>
      <w:r w:rsidRPr="00294C51">
        <w:t xml:space="preserve"> </w:t>
      </w:r>
      <w:proofErr w:type="spellStart"/>
      <w:r w:rsidRPr="00294C51">
        <w:t>kan</w:t>
      </w:r>
      <w:proofErr w:type="spellEnd"/>
      <w:r w:rsidRPr="00294C51">
        <w:t xml:space="preserve"> </w:t>
      </w:r>
      <w:proofErr w:type="spellStart"/>
      <w:r w:rsidRPr="00294C51">
        <w:t>f.eks</w:t>
      </w:r>
      <w:proofErr w:type="spellEnd"/>
      <w:r w:rsidRPr="00294C51">
        <w:t xml:space="preserve">. </w:t>
      </w:r>
      <w:proofErr w:type="spellStart"/>
      <w:r w:rsidRPr="00294C51">
        <w:t>være</w:t>
      </w:r>
      <w:proofErr w:type="spellEnd"/>
      <w:r w:rsidRPr="00294C51">
        <w:t>:</w:t>
      </w:r>
    </w:p>
    <w:p w14:paraId="340A4937" w14:textId="77777777" w:rsidR="00C52B21" w:rsidRPr="009A11A6" w:rsidRDefault="00C52B21" w:rsidP="00C52B21">
      <w:pPr>
        <w:rPr>
          <w:lang w:val="da-DK"/>
        </w:rPr>
      </w:pPr>
      <w:r w:rsidRPr="00294C51">
        <w:t xml:space="preserve">− akut </w:t>
      </w:r>
      <w:proofErr w:type="spellStart"/>
      <w:r w:rsidRPr="00294C51">
        <w:t>eller</w:t>
      </w:r>
      <w:proofErr w:type="spellEnd"/>
      <w:r w:rsidRPr="00294C51">
        <w:t xml:space="preserve"> </w:t>
      </w:r>
      <w:proofErr w:type="spellStart"/>
      <w:r w:rsidRPr="00294C51">
        <w:t>nylig</w:t>
      </w:r>
      <w:proofErr w:type="spellEnd"/>
      <w:r w:rsidRPr="00294C51">
        <w:t xml:space="preserve"> gastrointestinal </w:t>
      </w:r>
      <w:proofErr w:type="spellStart"/>
      <w:r w:rsidRPr="00294C51">
        <w:t>ulceration</w:t>
      </w:r>
      <w:proofErr w:type="spellEnd"/>
    </w:p>
    <w:p w14:paraId="09A781ED" w14:textId="77777777" w:rsidR="00C52B21" w:rsidRPr="009A11A6" w:rsidRDefault="00C52B21" w:rsidP="00C52B21">
      <w:pPr>
        <w:rPr>
          <w:lang w:val="da-DK"/>
        </w:rPr>
      </w:pPr>
      <w:r w:rsidRPr="00294C51">
        <w:t xml:space="preserve">− </w:t>
      </w:r>
      <w:proofErr w:type="spellStart"/>
      <w:r w:rsidRPr="00294C51">
        <w:t>ondartede</w:t>
      </w:r>
      <w:proofErr w:type="spellEnd"/>
      <w:r w:rsidRPr="00294C51">
        <w:t xml:space="preserve"> </w:t>
      </w:r>
      <w:proofErr w:type="spellStart"/>
      <w:r w:rsidRPr="00294C51">
        <w:t>neoplasmer</w:t>
      </w:r>
      <w:proofErr w:type="spellEnd"/>
      <w:r w:rsidRPr="00294C51">
        <w:t xml:space="preserve"> med </w:t>
      </w:r>
      <w:proofErr w:type="spellStart"/>
      <w:r w:rsidRPr="00294C51">
        <w:t>høj</w:t>
      </w:r>
      <w:proofErr w:type="spellEnd"/>
      <w:r w:rsidRPr="00294C51">
        <w:t xml:space="preserve"> </w:t>
      </w:r>
      <w:proofErr w:type="spellStart"/>
      <w:r w:rsidRPr="00294C51">
        <w:t>risiko</w:t>
      </w:r>
      <w:proofErr w:type="spellEnd"/>
      <w:r w:rsidRPr="00294C51">
        <w:t xml:space="preserve"> </w:t>
      </w:r>
      <w:proofErr w:type="spellStart"/>
      <w:r w:rsidRPr="00294C51">
        <w:t>for</w:t>
      </w:r>
      <w:proofErr w:type="spellEnd"/>
      <w:r w:rsidRPr="00294C51">
        <w:t xml:space="preserve"> </w:t>
      </w:r>
      <w:proofErr w:type="spellStart"/>
      <w:r w:rsidRPr="00294C51">
        <w:t>blødning</w:t>
      </w:r>
      <w:proofErr w:type="spellEnd"/>
    </w:p>
    <w:p w14:paraId="7A300463" w14:textId="77777777" w:rsidR="00C52B21" w:rsidRPr="009A11A6" w:rsidRDefault="00C52B21" w:rsidP="00C52B21">
      <w:pPr>
        <w:rPr>
          <w:lang w:val="da-DK"/>
        </w:rPr>
      </w:pPr>
      <w:r w:rsidRPr="00294C51">
        <w:t xml:space="preserve">− </w:t>
      </w:r>
      <w:proofErr w:type="spellStart"/>
      <w:r w:rsidRPr="00294C51">
        <w:t>nylige</w:t>
      </w:r>
      <w:proofErr w:type="spellEnd"/>
      <w:r w:rsidRPr="00294C51">
        <w:t xml:space="preserve"> </w:t>
      </w:r>
      <w:proofErr w:type="spellStart"/>
      <w:r w:rsidRPr="00294C51">
        <w:t>hjerne</w:t>
      </w:r>
      <w:proofErr w:type="spellEnd"/>
      <w:r w:rsidRPr="00294C51">
        <w:t xml:space="preserve">- </w:t>
      </w:r>
      <w:proofErr w:type="spellStart"/>
      <w:r w:rsidRPr="00294C51">
        <w:t>eller</w:t>
      </w:r>
      <w:proofErr w:type="spellEnd"/>
      <w:r w:rsidRPr="00294C51">
        <w:t xml:space="preserve"> </w:t>
      </w:r>
      <w:proofErr w:type="spellStart"/>
      <w:r w:rsidRPr="00294C51">
        <w:t>rygmarvsskader</w:t>
      </w:r>
      <w:proofErr w:type="spellEnd"/>
    </w:p>
    <w:p w14:paraId="1F253903" w14:textId="77777777" w:rsidR="00C52B21" w:rsidRPr="009A11A6" w:rsidRDefault="00C52B21" w:rsidP="00C52B21">
      <w:pPr>
        <w:rPr>
          <w:lang w:val="da-DK"/>
        </w:rPr>
      </w:pPr>
      <w:r w:rsidRPr="00294C51">
        <w:t xml:space="preserve">− </w:t>
      </w:r>
      <w:proofErr w:type="spellStart"/>
      <w:r w:rsidRPr="00294C51">
        <w:t>nylig</w:t>
      </w:r>
      <w:proofErr w:type="spellEnd"/>
      <w:r w:rsidRPr="00294C51">
        <w:t xml:space="preserve"> </w:t>
      </w:r>
      <w:proofErr w:type="spellStart"/>
      <w:r w:rsidRPr="00294C51">
        <w:t>operation</w:t>
      </w:r>
      <w:proofErr w:type="spellEnd"/>
      <w:r w:rsidRPr="00294C51">
        <w:t xml:space="preserve"> i </w:t>
      </w:r>
      <w:proofErr w:type="spellStart"/>
      <w:r w:rsidRPr="00294C51">
        <w:t>hjernen</w:t>
      </w:r>
      <w:proofErr w:type="spellEnd"/>
      <w:r w:rsidRPr="00294C51">
        <w:t xml:space="preserve">, </w:t>
      </w:r>
      <w:proofErr w:type="spellStart"/>
      <w:r w:rsidRPr="00294C51">
        <w:t>rygmarven</w:t>
      </w:r>
      <w:proofErr w:type="spellEnd"/>
      <w:r w:rsidRPr="00294C51">
        <w:t xml:space="preserve"> </w:t>
      </w:r>
      <w:proofErr w:type="spellStart"/>
      <w:r w:rsidRPr="00294C51">
        <w:t>eller</w:t>
      </w:r>
      <w:proofErr w:type="spellEnd"/>
      <w:r w:rsidRPr="00294C51">
        <w:t xml:space="preserve"> </w:t>
      </w:r>
      <w:proofErr w:type="spellStart"/>
      <w:r w:rsidRPr="00294C51">
        <w:t>øjnene</w:t>
      </w:r>
      <w:proofErr w:type="spellEnd"/>
    </w:p>
    <w:p w14:paraId="7208E30E" w14:textId="77777777" w:rsidR="00C52B21" w:rsidRPr="009A11A6" w:rsidRDefault="00C52B21" w:rsidP="00C52B21">
      <w:pPr>
        <w:rPr>
          <w:lang w:val="da-DK"/>
        </w:rPr>
      </w:pPr>
      <w:r w:rsidRPr="00294C51">
        <w:t xml:space="preserve">− </w:t>
      </w:r>
      <w:proofErr w:type="spellStart"/>
      <w:r w:rsidRPr="00294C51">
        <w:t>nylig</w:t>
      </w:r>
      <w:proofErr w:type="spellEnd"/>
      <w:r w:rsidRPr="00294C51">
        <w:t xml:space="preserve"> </w:t>
      </w:r>
      <w:proofErr w:type="spellStart"/>
      <w:r w:rsidRPr="00294C51">
        <w:t>intrakraniel</w:t>
      </w:r>
      <w:proofErr w:type="spellEnd"/>
      <w:r w:rsidRPr="00294C51">
        <w:t xml:space="preserve"> </w:t>
      </w:r>
      <w:proofErr w:type="spellStart"/>
      <w:r w:rsidRPr="00294C51">
        <w:t>blødning</w:t>
      </w:r>
      <w:proofErr w:type="spellEnd"/>
    </w:p>
    <w:p w14:paraId="59FB8E6A" w14:textId="77777777" w:rsidR="00C52B21" w:rsidRPr="009A11A6" w:rsidRDefault="00C52B21" w:rsidP="00C52B21">
      <w:pPr>
        <w:rPr>
          <w:lang w:val="da-DK"/>
        </w:rPr>
      </w:pPr>
      <w:r w:rsidRPr="00294C51">
        <w:t xml:space="preserve">− </w:t>
      </w:r>
      <w:proofErr w:type="spellStart"/>
      <w:r w:rsidRPr="00294C51">
        <w:t>kendte</w:t>
      </w:r>
      <w:proofErr w:type="spellEnd"/>
      <w:r w:rsidRPr="00294C51">
        <w:t xml:space="preserve"> </w:t>
      </w:r>
      <w:proofErr w:type="spellStart"/>
      <w:r w:rsidRPr="00294C51">
        <w:t>eller</w:t>
      </w:r>
      <w:proofErr w:type="spellEnd"/>
      <w:r w:rsidRPr="00294C51">
        <w:t xml:space="preserve"> </w:t>
      </w:r>
      <w:proofErr w:type="spellStart"/>
      <w:r w:rsidRPr="00294C51">
        <w:t>mistænkte</w:t>
      </w:r>
      <w:proofErr w:type="spellEnd"/>
      <w:r w:rsidRPr="00294C51">
        <w:t xml:space="preserve"> </w:t>
      </w:r>
      <w:proofErr w:type="spellStart"/>
      <w:r w:rsidRPr="00294C51">
        <w:t>varicer</w:t>
      </w:r>
      <w:proofErr w:type="spellEnd"/>
      <w:r w:rsidRPr="00294C51">
        <w:t xml:space="preserve"> i </w:t>
      </w:r>
      <w:proofErr w:type="spellStart"/>
      <w:r w:rsidRPr="00294C51">
        <w:t>spiserøret</w:t>
      </w:r>
      <w:proofErr w:type="spellEnd"/>
    </w:p>
    <w:p w14:paraId="22935BF1" w14:textId="003E8B37" w:rsidR="00C52B21" w:rsidRPr="009A11A6" w:rsidRDefault="00C52B21" w:rsidP="00C52B21">
      <w:pPr>
        <w:rPr>
          <w:lang w:val="da-DK"/>
        </w:rPr>
      </w:pPr>
      <w:r w:rsidRPr="00294C51">
        <w:t xml:space="preserve">− </w:t>
      </w:r>
      <w:proofErr w:type="spellStart"/>
      <w:r w:rsidRPr="00294C51">
        <w:t>arteriovenøse</w:t>
      </w:r>
      <w:proofErr w:type="spellEnd"/>
      <w:r w:rsidRPr="00294C51">
        <w:t xml:space="preserve"> </w:t>
      </w:r>
      <w:proofErr w:type="spellStart"/>
      <w:r w:rsidR="00756D75">
        <w:t>malformationer</w:t>
      </w:r>
      <w:proofErr w:type="spellEnd"/>
    </w:p>
    <w:p w14:paraId="0A3AE174" w14:textId="77777777" w:rsidR="00C52B21" w:rsidRPr="009A11A6" w:rsidRDefault="00C52B21" w:rsidP="00C52B21">
      <w:pPr>
        <w:rPr>
          <w:lang w:val="da-DK"/>
        </w:rPr>
      </w:pPr>
      <w:r w:rsidRPr="00294C51">
        <w:t xml:space="preserve">− </w:t>
      </w:r>
      <w:proofErr w:type="spellStart"/>
      <w:r w:rsidRPr="00294C51">
        <w:t>vaskulære</w:t>
      </w:r>
      <w:proofErr w:type="spellEnd"/>
      <w:r w:rsidRPr="00294C51">
        <w:t xml:space="preserve"> </w:t>
      </w:r>
      <w:proofErr w:type="spellStart"/>
      <w:r w:rsidRPr="00294C51">
        <w:t>aneurismer</w:t>
      </w:r>
      <w:proofErr w:type="spellEnd"/>
      <w:r w:rsidRPr="00294C51">
        <w:t xml:space="preserve"> </w:t>
      </w:r>
      <w:proofErr w:type="spellStart"/>
      <w:r w:rsidRPr="00294C51">
        <w:t>eller</w:t>
      </w:r>
      <w:proofErr w:type="spellEnd"/>
      <w:r w:rsidRPr="00294C51">
        <w:t xml:space="preserve"> </w:t>
      </w:r>
      <w:proofErr w:type="spellStart"/>
      <w:r w:rsidRPr="00294C51">
        <w:t>større</w:t>
      </w:r>
      <w:proofErr w:type="spellEnd"/>
      <w:r w:rsidRPr="00294C51">
        <w:t xml:space="preserve"> intraspinale </w:t>
      </w:r>
      <w:proofErr w:type="spellStart"/>
      <w:r w:rsidRPr="00294C51">
        <w:t>eller</w:t>
      </w:r>
      <w:proofErr w:type="spellEnd"/>
      <w:r w:rsidRPr="00294C51">
        <w:t xml:space="preserve"> </w:t>
      </w:r>
      <w:proofErr w:type="spellStart"/>
      <w:r w:rsidRPr="00294C51">
        <w:t>intracerebrale</w:t>
      </w:r>
      <w:proofErr w:type="spellEnd"/>
      <w:r w:rsidRPr="00294C51">
        <w:t xml:space="preserve"> </w:t>
      </w:r>
      <w:proofErr w:type="spellStart"/>
      <w:r w:rsidRPr="00294C51">
        <w:t>vaskulære</w:t>
      </w:r>
      <w:proofErr w:type="spellEnd"/>
      <w:r w:rsidRPr="00294C51">
        <w:t xml:space="preserve"> </w:t>
      </w:r>
      <w:proofErr w:type="spellStart"/>
      <w:r w:rsidRPr="00294C51">
        <w:t>abnormiteter</w:t>
      </w:r>
      <w:proofErr w:type="spellEnd"/>
    </w:p>
    <w:p w14:paraId="40C80797" w14:textId="42F5DD8A" w:rsidR="00C52B21" w:rsidRPr="009A11A6" w:rsidRDefault="007B60F3" w:rsidP="00C52B21">
      <w:pPr>
        <w:rPr>
          <w:lang w:val="da-DK"/>
        </w:rPr>
      </w:pPr>
      <w:r w:rsidRPr="00294C51">
        <w:t xml:space="preserve">• </w:t>
      </w:r>
      <w:proofErr w:type="spellStart"/>
      <w:r w:rsidRPr="00294C51">
        <w:t>Samtidig</w:t>
      </w:r>
      <w:proofErr w:type="spellEnd"/>
      <w:r w:rsidRPr="00294C51">
        <w:t xml:space="preserve"> </w:t>
      </w:r>
      <w:proofErr w:type="spellStart"/>
      <w:r w:rsidRPr="00294C51">
        <w:t>brug</w:t>
      </w:r>
      <w:proofErr w:type="spellEnd"/>
      <w:r w:rsidRPr="00294C51">
        <w:t xml:space="preserve"> </w:t>
      </w:r>
      <w:proofErr w:type="spellStart"/>
      <w:r w:rsidRPr="00294C51">
        <w:t>af</w:t>
      </w:r>
      <w:proofErr w:type="spellEnd"/>
      <w:r w:rsidRPr="00294C51">
        <w:t xml:space="preserve"> andre </w:t>
      </w:r>
      <w:proofErr w:type="spellStart"/>
      <w:r w:rsidRPr="00294C51">
        <w:t>antikoagulantia</w:t>
      </w:r>
      <w:proofErr w:type="spellEnd"/>
      <w:r w:rsidRPr="00294C51">
        <w:t xml:space="preserve">, </w:t>
      </w:r>
      <w:proofErr w:type="spellStart"/>
      <w:r w:rsidRPr="00294C51">
        <w:t>f.eks</w:t>
      </w:r>
      <w:proofErr w:type="spellEnd"/>
      <w:r w:rsidRPr="00294C51">
        <w:t>.</w:t>
      </w:r>
    </w:p>
    <w:p w14:paraId="54D8016C" w14:textId="782C9FBB" w:rsidR="00C52B21" w:rsidRPr="009A11A6" w:rsidRDefault="00882603" w:rsidP="00C52B21">
      <w:pPr>
        <w:rPr>
          <w:lang w:val="da-DK"/>
        </w:rPr>
      </w:pPr>
      <w:r w:rsidRPr="00294C51">
        <w:t xml:space="preserve">− </w:t>
      </w:r>
      <w:proofErr w:type="spellStart"/>
      <w:r w:rsidRPr="00294C51">
        <w:t>ufraktionerede</w:t>
      </w:r>
      <w:proofErr w:type="spellEnd"/>
      <w:r w:rsidRPr="00294C51">
        <w:t xml:space="preserve"> </w:t>
      </w:r>
      <w:proofErr w:type="spellStart"/>
      <w:r w:rsidRPr="00294C51">
        <w:t>hepariner</w:t>
      </w:r>
      <w:proofErr w:type="spellEnd"/>
      <w:r w:rsidRPr="00294C51">
        <w:t xml:space="preserve"> (UFH)</w:t>
      </w:r>
    </w:p>
    <w:p w14:paraId="7DBB76B4" w14:textId="77777777" w:rsidR="00C52B21" w:rsidRPr="009A11A6" w:rsidRDefault="00C52B21" w:rsidP="00C52B21">
      <w:pPr>
        <w:rPr>
          <w:lang w:val="da-DK"/>
        </w:rPr>
      </w:pPr>
      <w:r w:rsidRPr="00294C51">
        <w:t xml:space="preserve">− </w:t>
      </w:r>
      <w:proofErr w:type="spellStart"/>
      <w:r w:rsidRPr="00294C51">
        <w:t>hepariner</w:t>
      </w:r>
      <w:proofErr w:type="spellEnd"/>
      <w:r w:rsidRPr="00294C51">
        <w:t xml:space="preserve"> med </w:t>
      </w:r>
      <w:proofErr w:type="spellStart"/>
      <w:r w:rsidRPr="00294C51">
        <w:t>lav</w:t>
      </w:r>
      <w:proofErr w:type="spellEnd"/>
      <w:r w:rsidRPr="00294C51">
        <w:t xml:space="preserve"> </w:t>
      </w:r>
      <w:proofErr w:type="spellStart"/>
      <w:r w:rsidRPr="00294C51">
        <w:t>molekylvægt</w:t>
      </w:r>
      <w:proofErr w:type="spellEnd"/>
      <w:r w:rsidRPr="00294C51">
        <w:t xml:space="preserve"> (</w:t>
      </w:r>
      <w:proofErr w:type="spellStart"/>
      <w:r w:rsidRPr="00294C51">
        <w:t>enoxaparin</w:t>
      </w:r>
      <w:proofErr w:type="spellEnd"/>
      <w:r w:rsidRPr="00294C51">
        <w:t xml:space="preserve">, </w:t>
      </w:r>
      <w:proofErr w:type="spellStart"/>
      <w:r w:rsidRPr="00294C51">
        <w:t>dalteparin</w:t>
      </w:r>
      <w:proofErr w:type="spellEnd"/>
      <w:r w:rsidRPr="00294C51">
        <w:t xml:space="preserve"> </w:t>
      </w:r>
      <w:proofErr w:type="spellStart"/>
      <w:r w:rsidRPr="00294C51">
        <w:t>osv</w:t>
      </w:r>
      <w:proofErr w:type="spellEnd"/>
      <w:r w:rsidRPr="00294C51">
        <w:t>.)</w:t>
      </w:r>
    </w:p>
    <w:p w14:paraId="1BC5DBDE" w14:textId="77777777" w:rsidR="00C52B21" w:rsidRPr="009A11A6" w:rsidRDefault="00C52B21" w:rsidP="00C52B21">
      <w:pPr>
        <w:rPr>
          <w:lang w:val="da-DK"/>
        </w:rPr>
      </w:pPr>
      <w:r w:rsidRPr="00294C51">
        <w:t xml:space="preserve">− </w:t>
      </w:r>
      <w:proofErr w:type="spellStart"/>
      <w:r w:rsidRPr="00294C51">
        <w:t>Heparinderivater</w:t>
      </w:r>
      <w:proofErr w:type="spellEnd"/>
      <w:r w:rsidRPr="00294C51">
        <w:t xml:space="preserve"> (</w:t>
      </w:r>
      <w:proofErr w:type="spellStart"/>
      <w:r w:rsidRPr="00294C51">
        <w:t>fondaparinux</w:t>
      </w:r>
      <w:proofErr w:type="spellEnd"/>
      <w:r w:rsidRPr="00294C51">
        <w:t>, etc.)</w:t>
      </w:r>
    </w:p>
    <w:p w14:paraId="10908C86" w14:textId="0163A91F" w:rsidR="00C52B21" w:rsidRPr="009A11A6" w:rsidRDefault="00882603" w:rsidP="00C52B21">
      <w:pPr>
        <w:rPr>
          <w:lang w:val="da-DK"/>
        </w:rPr>
      </w:pPr>
      <w:r w:rsidRPr="00294C51">
        <w:t xml:space="preserve">− orale </w:t>
      </w:r>
      <w:proofErr w:type="spellStart"/>
      <w:r w:rsidRPr="00294C51">
        <w:t>antikoagulantia</w:t>
      </w:r>
      <w:proofErr w:type="spellEnd"/>
      <w:r w:rsidRPr="00294C51">
        <w:t xml:space="preserve"> (</w:t>
      </w:r>
      <w:proofErr w:type="spellStart"/>
      <w:r w:rsidRPr="00294C51">
        <w:t>warfarin</w:t>
      </w:r>
      <w:proofErr w:type="spellEnd"/>
      <w:r w:rsidRPr="00294C51">
        <w:t xml:space="preserve">, </w:t>
      </w:r>
      <w:proofErr w:type="spellStart"/>
      <w:r w:rsidRPr="00294C51">
        <w:t>rivaroxaban</w:t>
      </w:r>
      <w:proofErr w:type="spellEnd"/>
      <w:r w:rsidRPr="00294C51">
        <w:t xml:space="preserve">, </w:t>
      </w:r>
      <w:proofErr w:type="spellStart"/>
      <w:r w:rsidRPr="00294C51">
        <w:t>apixaban</w:t>
      </w:r>
      <w:proofErr w:type="spellEnd"/>
      <w:r w:rsidRPr="00294C51">
        <w:t xml:space="preserve"> </w:t>
      </w:r>
      <w:proofErr w:type="spellStart"/>
      <w:r w:rsidRPr="00294C51">
        <w:t>osv</w:t>
      </w:r>
      <w:proofErr w:type="spellEnd"/>
      <w:r w:rsidRPr="00294C51">
        <w:t xml:space="preserve">.), </w:t>
      </w:r>
      <w:proofErr w:type="spellStart"/>
      <w:r w:rsidRPr="00294C51">
        <w:t>undtagen</w:t>
      </w:r>
      <w:proofErr w:type="spellEnd"/>
      <w:r w:rsidRPr="00294C51">
        <w:t xml:space="preserve"> </w:t>
      </w:r>
      <w:proofErr w:type="spellStart"/>
      <w:r w:rsidRPr="00294C51">
        <w:t>under</w:t>
      </w:r>
      <w:proofErr w:type="spellEnd"/>
      <w:r w:rsidRPr="00294C51">
        <w:t xml:space="preserve"> </w:t>
      </w:r>
      <w:proofErr w:type="spellStart"/>
      <w:r w:rsidRPr="00294C51">
        <w:t>særlige</w:t>
      </w:r>
      <w:proofErr w:type="spellEnd"/>
      <w:r w:rsidRPr="00294C51">
        <w:t xml:space="preserve"> </w:t>
      </w:r>
      <w:proofErr w:type="spellStart"/>
      <w:r w:rsidRPr="00294C51">
        <w:t>omstændigheder</w:t>
      </w:r>
      <w:proofErr w:type="spellEnd"/>
      <w:r w:rsidRPr="00294C51">
        <w:t xml:space="preserve">. </w:t>
      </w:r>
      <w:proofErr w:type="spellStart"/>
      <w:r w:rsidRPr="00294C51">
        <w:t>Disse</w:t>
      </w:r>
      <w:proofErr w:type="spellEnd"/>
      <w:r w:rsidRPr="00294C51">
        <w:t xml:space="preserve"> </w:t>
      </w:r>
      <w:proofErr w:type="spellStart"/>
      <w:r w:rsidRPr="00294C51">
        <w:t>omfatter</w:t>
      </w:r>
      <w:proofErr w:type="spellEnd"/>
      <w:r w:rsidRPr="00294C51">
        <w:t xml:space="preserve"> </w:t>
      </w:r>
      <w:proofErr w:type="spellStart"/>
      <w:r w:rsidRPr="00294C51">
        <w:t>ændring</w:t>
      </w:r>
      <w:proofErr w:type="spellEnd"/>
      <w:r w:rsidRPr="00294C51">
        <w:t xml:space="preserve"> </w:t>
      </w:r>
      <w:proofErr w:type="spellStart"/>
      <w:r w:rsidRPr="00294C51">
        <w:t>af</w:t>
      </w:r>
      <w:proofErr w:type="spellEnd"/>
      <w:r w:rsidRPr="00294C51">
        <w:t xml:space="preserve"> </w:t>
      </w:r>
      <w:proofErr w:type="spellStart"/>
      <w:r w:rsidRPr="00294C51">
        <w:t>antikoagulationsbehandling</w:t>
      </w:r>
      <w:proofErr w:type="spellEnd"/>
      <w:r w:rsidRPr="00294C51">
        <w:t xml:space="preserve">, </w:t>
      </w:r>
      <w:proofErr w:type="spellStart"/>
      <w:r w:rsidRPr="00294C51">
        <w:t>eller</w:t>
      </w:r>
      <w:proofErr w:type="spellEnd"/>
      <w:r w:rsidRPr="00294C51">
        <w:t xml:space="preserve"> </w:t>
      </w:r>
      <w:proofErr w:type="spellStart"/>
      <w:r w:rsidRPr="00294C51">
        <w:t>når</w:t>
      </w:r>
      <w:proofErr w:type="spellEnd"/>
      <w:r w:rsidRPr="00294C51">
        <w:t xml:space="preserve"> </w:t>
      </w:r>
      <w:proofErr w:type="spellStart"/>
      <w:r w:rsidRPr="00294C51">
        <w:t>ufraktioneret</w:t>
      </w:r>
      <w:proofErr w:type="spellEnd"/>
      <w:r w:rsidRPr="00294C51">
        <w:t xml:space="preserve"> </w:t>
      </w:r>
      <w:proofErr w:type="spellStart"/>
      <w:r w:rsidRPr="00294C51">
        <w:t>heparin</w:t>
      </w:r>
      <w:proofErr w:type="spellEnd"/>
      <w:r w:rsidRPr="00294C51">
        <w:t xml:space="preserve"> </w:t>
      </w:r>
      <w:proofErr w:type="spellStart"/>
      <w:r w:rsidRPr="00294C51">
        <w:t>gives</w:t>
      </w:r>
      <w:proofErr w:type="spellEnd"/>
      <w:r w:rsidRPr="00294C51">
        <w:t xml:space="preserve"> i </w:t>
      </w:r>
      <w:proofErr w:type="spellStart"/>
      <w:r w:rsidRPr="00294C51">
        <w:t>doser</w:t>
      </w:r>
      <w:proofErr w:type="spellEnd"/>
      <w:r w:rsidRPr="00294C51">
        <w:t xml:space="preserve">, der er </w:t>
      </w:r>
      <w:proofErr w:type="spellStart"/>
      <w:r w:rsidRPr="00294C51">
        <w:t>nødvendige</w:t>
      </w:r>
      <w:proofErr w:type="spellEnd"/>
      <w:r w:rsidRPr="00294C51">
        <w:t xml:space="preserve"> </w:t>
      </w:r>
      <w:proofErr w:type="spellStart"/>
      <w:r w:rsidRPr="00294C51">
        <w:t>for</w:t>
      </w:r>
      <w:proofErr w:type="spellEnd"/>
      <w:r w:rsidRPr="00294C51">
        <w:t xml:space="preserve"> at </w:t>
      </w:r>
      <w:proofErr w:type="spellStart"/>
      <w:r w:rsidRPr="00294C51">
        <w:t>opretholde</w:t>
      </w:r>
      <w:proofErr w:type="spellEnd"/>
      <w:r w:rsidRPr="00294C51">
        <w:t xml:space="preserve"> </w:t>
      </w:r>
      <w:proofErr w:type="spellStart"/>
      <w:r w:rsidRPr="00294C51">
        <w:t>patency</w:t>
      </w:r>
      <w:proofErr w:type="spellEnd"/>
      <w:r w:rsidRPr="00294C51">
        <w:t xml:space="preserve"> </w:t>
      </w:r>
      <w:proofErr w:type="spellStart"/>
      <w:r w:rsidRPr="00294C51">
        <w:t>af</w:t>
      </w:r>
      <w:proofErr w:type="spellEnd"/>
      <w:r w:rsidRPr="00294C51">
        <w:t xml:space="preserve"> et </w:t>
      </w:r>
      <w:proofErr w:type="spellStart"/>
      <w:r w:rsidRPr="00294C51">
        <w:t>centralt</w:t>
      </w:r>
      <w:proofErr w:type="spellEnd"/>
      <w:r w:rsidRPr="00294C51">
        <w:t xml:space="preserve"> </w:t>
      </w:r>
      <w:proofErr w:type="spellStart"/>
      <w:r w:rsidRPr="00294C51">
        <w:t>venøst</w:t>
      </w:r>
      <w:proofErr w:type="spellEnd"/>
      <w:r w:rsidRPr="00294C51">
        <w:t xml:space="preserve"> </w:t>
      </w:r>
      <w:proofErr w:type="spellStart"/>
      <w:r w:rsidRPr="00294C51">
        <w:t>eller</w:t>
      </w:r>
      <w:proofErr w:type="spellEnd"/>
      <w:r w:rsidRPr="00294C51">
        <w:t xml:space="preserve"> </w:t>
      </w:r>
      <w:proofErr w:type="spellStart"/>
      <w:r w:rsidRPr="00294C51">
        <w:t>arterielt</w:t>
      </w:r>
      <w:proofErr w:type="spellEnd"/>
      <w:r w:rsidRPr="00294C51">
        <w:t xml:space="preserve"> </w:t>
      </w:r>
      <w:proofErr w:type="spellStart"/>
      <w:r w:rsidRPr="00294C51">
        <w:t>kateter</w:t>
      </w:r>
      <w:proofErr w:type="spellEnd"/>
      <w:r w:rsidRPr="00294C51">
        <w:t>.</w:t>
      </w:r>
    </w:p>
    <w:p w14:paraId="146B9EFD" w14:textId="0A5E0D8D" w:rsidR="00C52B21" w:rsidRPr="009A11A6" w:rsidRDefault="007B60F3" w:rsidP="00C52B21">
      <w:pPr>
        <w:rPr>
          <w:lang w:val="da-DK"/>
        </w:rPr>
      </w:pPr>
      <w:r w:rsidRPr="00294C51">
        <w:t xml:space="preserve">• </w:t>
      </w:r>
      <w:proofErr w:type="spellStart"/>
      <w:r w:rsidRPr="00294C51">
        <w:t>Nedsat</w:t>
      </w:r>
      <w:proofErr w:type="spellEnd"/>
      <w:r w:rsidRPr="00294C51">
        <w:t xml:space="preserve"> </w:t>
      </w:r>
      <w:proofErr w:type="spellStart"/>
      <w:r w:rsidRPr="00294C51">
        <w:t>leverfunktion</w:t>
      </w:r>
      <w:proofErr w:type="spellEnd"/>
      <w:r w:rsidRPr="00294C51">
        <w:t xml:space="preserve"> </w:t>
      </w:r>
      <w:proofErr w:type="spellStart"/>
      <w:r w:rsidRPr="00294C51">
        <w:t>eller</w:t>
      </w:r>
      <w:proofErr w:type="spellEnd"/>
      <w:r w:rsidRPr="00294C51">
        <w:t xml:space="preserve"> </w:t>
      </w:r>
      <w:proofErr w:type="spellStart"/>
      <w:r w:rsidRPr="00294C51">
        <w:t>leversygdom</w:t>
      </w:r>
      <w:proofErr w:type="spellEnd"/>
      <w:r w:rsidRPr="00294C51">
        <w:t xml:space="preserve">, der </w:t>
      </w:r>
      <w:proofErr w:type="spellStart"/>
      <w:r w:rsidRPr="00294C51">
        <w:t>sandsynligvis</w:t>
      </w:r>
      <w:proofErr w:type="spellEnd"/>
      <w:r w:rsidRPr="00294C51">
        <w:t xml:space="preserve"> </w:t>
      </w:r>
      <w:proofErr w:type="spellStart"/>
      <w:r w:rsidRPr="00294C51">
        <w:t>vil</w:t>
      </w:r>
      <w:proofErr w:type="spellEnd"/>
      <w:r w:rsidRPr="00294C51">
        <w:t xml:space="preserve"> </w:t>
      </w:r>
      <w:proofErr w:type="spellStart"/>
      <w:r w:rsidRPr="00294C51">
        <w:t>påvirke</w:t>
      </w:r>
      <w:proofErr w:type="spellEnd"/>
      <w:r w:rsidRPr="00294C51">
        <w:t xml:space="preserve"> </w:t>
      </w:r>
      <w:proofErr w:type="spellStart"/>
      <w:r w:rsidRPr="00294C51">
        <w:t>overlevelsen</w:t>
      </w:r>
      <w:proofErr w:type="spellEnd"/>
    </w:p>
    <w:p w14:paraId="5F676DD3" w14:textId="3561CB21" w:rsidR="00C52B21" w:rsidRPr="009A11A6" w:rsidRDefault="007B60F3" w:rsidP="00C52B21">
      <w:pPr>
        <w:rPr>
          <w:lang w:val="da-DK"/>
        </w:rPr>
      </w:pPr>
      <w:r w:rsidRPr="00294C51">
        <w:t xml:space="preserve">• </w:t>
      </w:r>
      <w:proofErr w:type="spellStart"/>
      <w:r w:rsidRPr="00294C51">
        <w:t>Samtidig</w:t>
      </w:r>
      <w:proofErr w:type="spellEnd"/>
      <w:r w:rsidRPr="00294C51">
        <w:t xml:space="preserve"> </w:t>
      </w:r>
      <w:proofErr w:type="spellStart"/>
      <w:r w:rsidRPr="00294C51">
        <w:t>behandling</w:t>
      </w:r>
      <w:proofErr w:type="spellEnd"/>
      <w:r w:rsidRPr="00294C51">
        <w:t xml:space="preserve"> med </w:t>
      </w:r>
      <w:proofErr w:type="spellStart"/>
      <w:r w:rsidRPr="00294C51">
        <w:t>følgende</w:t>
      </w:r>
      <w:proofErr w:type="spellEnd"/>
      <w:r w:rsidRPr="00294C51">
        <w:t xml:space="preserve"> potente P-</w:t>
      </w:r>
      <w:proofErr w:type="spellStart"/>
      <w:r w:rsidRPr="00294C51">
        <w:t>glycoproteinhæmmere</w:t>
      </w:r>
      <w:proofErr w:type="spellEnd"/>
      <w:r w:rsidRPr="00294C51">
        <w:t xml:space="preserve">: </w:t>
      </w:r>
      <w:proofErr w:type="spellStart"/>
      <w:r w:rsidRPr="00294C51">
        <w:t>systemisk</w:t>
      </w:r>
      <w:proofErr w:type="spellEnd"/>
      <w:r w:rsidRPr="00294C51">
        <w:t xml:space="preserve"> </w:t>
      </w:r>
      <w:proofErr w:type="spellStart"/>
      <w:r w:rsidRPr="00294C51">
        <w:t>ketoconazol</w:t>
      </w:r>
      <w:proofErr w:type="spellEnd"/>
      <w:r w:rsidRPr="00294C51">
        <w:t xml:space="preserve">, </w:t>
      </w:r>
      <w:proofErr w:type="spellStart"/>
      <w:r w:rsidRPr="00294C51">
        <w:t>ciclosporin</w:t>
      </w:r>
      <w:proofErr w:type="spellEnd"/>
      <w:r w:rsidRPr="00294C51">
        <w:t xml:space="preserve">, </w:t>
      </w:r>
      <w:proofErr w:type="spellStart"/>
      <w:r w:rsidRPr="00294C51">
        <w:t>itraconazol</w:t>
      </w:r>
      <w:proofErr w:type="spellEnd"/>
      <w:r w:rsidRPr="00294C51">
        <w:t xml:space="preserve">, </w:t>
      </w:r>
      <w:proofErr w:type="spellStart"/>
      <w:r w:rsidRPr="00294C51">
        <w:t>dronedaron</w:t>
      </w:r>
      <w:proofErr w:type="spellEnd"/>
      <w:r w:rsidRPr="00294C51">
        <w:t xml:space="preserve"> </w:t>
      </w:r>
      <w:proofErr w:type="spellStart"/>
      <w:r w:rsidRPr="00294C51">
        <w:t>og</w:t>
      </w:r>
      <w:proofErr w:type="spellEnd"/>
      <w:r w:rsidRPr="00294C51">
        <w:t xml:space="preserve"> </w:t>
      </w:r>
      <w:proofErr w:type="spellStart"/>
      <w:r w:rsidR="00493CAB">
        <w:t>kombinationsprodukter</w:t>
      </w:r>
      <w:proofErr w:type="spellEnd"/>
      <w:r w:rsidR="00493CAB">
        <w:t xml:space="preserve"> </w:t>
      </w:r>
      <w:proofErr w:type="spellStart"/>
      <w:r w:rsidRPr="00294C51">
        <w:t>af</w:t>
      </w:r>
      <w:proofErr w:type="spellEnd"/>
      <w:r w:rsidRPr="00294C51">
        <w:t xml:space="preserve"> </w:t>
      </w:r>
      <w:proofErr w:type="spellStart"/>
      <w:r w:rsidRPr="00294C51">
        <w:t>glecaprevir</w:t>
      </w:r>
      <w:proofErr w:type="spellEnd"/>
      <w:r w:rsidRPr="00294C51">
        <w:t>/</w:t>
      </w:r>
      <w:proofErr w:type="spellStart"/>
      <w:r w:rsidRPr="00294C51">
        <w:t>pibrentasvir</w:t>
      </w:r>
      <w:proofErr w:type="spellEnd"/>
    </w:p>
    <w:p w14:paraId="412DB059" w14:textId="53E3DE62" w:rsidR="00C52B21" w:rsidRPr="009A11A6" w:rsidRDefault="007B60F3" w:rsidP="00C52B21">
      <w:pPr>
        <w:rPr>
          <w:lang w:val="da-DK"/>
        </w:rPr>
      </w:pPr>
      <w:r w:rsidRPr="00294C51">
        <w:t xml:space="preserve">• </w:t>
      </w:r>
      <w:proofErr w:type="spellStart"/>
      <w:r w:rsidRPr="00294C51">
        <w:t>Patienter</w:t>
      </w:r>
      <w:proofErr w:type="spellEnd"/>
      <w:r w:rsidRPr="00294C51">
        <w:t xml:space="preserve"> med </w:t>
      </w:r>
      <w:proofErr w:type="spellStart"/>
      <w:r w:rsidRPr="00294C51">
        <w:t>kunstige</w:t>
      </w:r>
      <w:proofErr w:type="spellEnd"/>
      <w:r w:rsidRPr="00294C51">
        <w:t xml:space="preserve"> </w:t>
      </w:r>
      <w:proofErr w:type="spellStart"/>
      <w:r w:rsidRPr="00294C51">
        <w:t>hjerteklapper</w:t>
      </w:r>
      <w:proofErr w:type="spellEnd"/>
      <w:r w:rsidRPr="00294C51">
        <w:t xml:space="preserve">, der </w:t>
      </w:r>
      <w:proofErr w:type="spellStart"/>
      <w:r w:rsidRPr="00294C51">
        <w:t>kræver</w:t>
      </w:r>
      <w:proofErr w:type="spellEnd"/>
      <w:r w:rsidRPr="00294C51">
        <w:t xml:space="preserve"> </w:t>
      </w:r>
      <w:proofErr w:type="spellStart"/>
      <w:r w:rsidRPr="00294C51">
        <w:t>antikoagulantia</w:t>
      </w:r>
      <w:proofErr w:type="spellEnd"/>
      <w:r w:rsidRPr="00294C51">
        <w:t xml:space="preserve"> </w:t>
      </w:r>
      <w:proofErr w:type="spellStart"/>
      <w:r w:rsidRPr="00294C51">
        <w:t>behandling</w:t>
      </w:r>
      <w:proofErr w:type="spellEnd"/>
    </w:p>
    <w:p w14:paraId="0F550059" w14:textId="4AFB138C" w:rsidR="00C52B21" w:rsidRPr="009A11A6" w:rsidRDefault="00C52B21" w:rsidP="00C52B21">
      <w:pPr>
        <w:rPr>
          <w:lang w:val="da-DK"/>
        </w:rPr>
      </w:pPr>
    </w:p>
    <w:p w14:paraId="648D9DB0" w14:textId="77777777" w:rsidR="00015056" w:rsidRPr="009A11A6" w:rsidRDefault="00015056" w:rsidP="00C52B21">
      <w:pPr>
        <w:rPr>
          <w:b/>
          <w:bCs/>
          <w:sz w:val="28"/>
          <w:szCs w:val="28"/>
          <w:lang w:val="da-DK"/>
        </w:rPr>
      </w:pPr>
    </w:p>
    <w:p w14:paraId="1D29CB10" w14:textId="10A3FD6A" w:rsidR="00C52B21" w:rsidRPr="009A11A6" w:rsidRDefault="008E54A9" w:rsidP="00C52B21">
      <w:pPr>
        <w:rPr>
          <w:b/>
          <w:bCs/>
          <w:sz w:val="28"/>
          <w:szCs w:val="28"/>
          <w:vertAlign w:val="superscript"/>
          <w:lang w:val="da-DK"/>
        </w:rPr>
      </w:pPr>
      <w:r w:rsidRPr="00294C51">
        <w:rPr>
          <w:b/>
          <w:bCs/>
          <w:sz w:val="28"/>
          <w:szCs w:val="28"/>
        </w:rPr>
        <w:t>Dosering</w:t>
      </w:r>
      <w:r w:rsidRPr="009A11A6">
        <w:rPr>
          <w:b/>
          <w:bCs/>
          <w:sz w:val="28"/>
          <w:szCs w:val="28"/>
          <w:vertAlign w:val="superscript"/>
        </w:rPr>
        <w:t>1</w:t>
      </w:r>
    </w:p>
    <w:p w14:paraId="29818C09" w14:textId="7B2F3BE1" w:rsidR="00882603" w:rsidRPr="009A11A6" w:rsidRDefault="00410892" w:rsidP="00882603">
      <w:pPr>
        <w:rPr>
          <w:lang w:val="da-DK"/>
        </w:rPr>
      </w:pPr>
      <w:r w:rsidRPr="00294C51">
        <w:lastRenderedPageBreak/>
        <w:t xml:space="preserve">Til </w:t>
      </w:r>
      <w:proofErr w:type="spellStart"/>
      <w:r w:rsidRPr="00294C51">
        <w:t>behandling</w:t>
      </w:r>
      <w:proofErr w:type="spellEnd"/>
      <w:r w:rsidRPr="00294C51">
        <w:t xml:space="preserve"> </w:t>
      </w:r>
      <w:proofErr w:type="spellStart"/>
      <w:r w:rsidRPr="00294C51">
        <w:t>af</w:t>
      </w:r>
      <w:proofErr w:type="spellEnd"/>
      <w:r w:rsidRPr="00294C51">
        <w:t xml:space="preserve"> VTE </w:t>
      </w:r>
      <w:proofErr w:type="spellStart"/>
      <w:r w:rsidRPr="00294C51">
        <w:t>hos</w:t>
      </w:r>
      <w:proofErr w:type="spellEnd"/>
      <w:r w:rsidRPr="00294C51">
        <w:t xml:space="preserve"> </w:t>
      </w:r>
      <w:proofErr w:type="spellStart"/>
      <w:r w:rsidRPr="00294C51">
        <w:t>børn</w:t>
      </w:r>
      <w:proofErr w:type="spellEnd"/>
      <w:r w:rsidRPr="00294C51">
        <w:t xml:space="preserve"> </w:t>
      </w:r>
      <w:proofErr w:type="spellStart"/>
      <w:r w:rsidRPr="00294C51">
        <w:t>og</w:t>
      </w:r>
      <w:proofErr w:type="spellEnd"/>
      <w:r w:rsidRPr="00294C51">
        <w:t xml:space="preserve"> </w:t>
      </w:r>
      <w:proofErr w:type="spellStart"/>
      <w:r w:rsidRPr="00294C51">
        <w:t>unge</w:t>
      </w:r>
      <w:proofErr w:type="spellEnd"/>
      <w:r w:rsidRPr="00294C51">
        <w:t xml:space="preserve"> </w:t>
      </w:r>
      <w:proofErr w:type="spellStart"/>
      <w:r w:rsidRPr="00294C51">
        <w:t>bør</w:t>
      </w:r>
      <w:proofErr w:type="spellEnd"/>
      <w:r w:rsidRPr="00294C51">
        <w:t xml:space="preserve"> </w:t>
      </w:r>
      <w:proofErr w:type="spellStart"/>
      <w:r w:rsidRPr="00294C51">
        <w:t>behandlingen</w:t>
      </w:r>
      <w:proofErr w:type="spellEnd"/>
      <w:r w:rsidRPr="00294C51">
        <w:t xml:space="preserve"> </w:t>
      </w:r>
      <w:proofErr w:type="spellStart"/>
      <w:r w:rsidRPr="00294C51">
        <w:t>påbegyndes</w:t>
      </w:r>
      <w:proofErr w:type="spellEnd"/>
      <w:r w:rsidRPr="00294C51">
        <w:t xml:space="preserve"> </w:t>
      </w:r>
      <w:proofErr w:type="spellStart"/>
      <w:r w:rsidRPr="00294C51">
        <w:t>efter</w:t>
      </w:r>
      <w:proofErr w:type="spellEnd"/>
      <w:r w:rsidRPr="00294C51">
        <w:t xml:space="preserve"> </w:t>
      </w:r>
      <w:proofErr w:type="spellStart"/>
      <w:r w:rsidRPr="00294C51">
        <w:t>mindst</w:t>
      </w:r>
      <w:proofErr w:type="spellEnd"/>
      <w:r w:rsidRPr="00294C51">
        <w:t xml:space="preserve"> 5 </w:t>
      </w:r>
      <w:proofErr w:type="spellStart"/>
      <w:r w:rsidRPr="00294C51">
        <w:t>dages</w:t>
      </w:r>
      <w:proofErr w:type="spellEnd"/>
      <w:r w:rsidRPr="00294C51">
        <w:t xml:space="preserve"> </w:t>
      </w:r>
      <w:proofErr w:type="spellStart"/>
      <w:r w:rsidRPr="00294C51">
        <w:t>behandling</w:t>
      </w:r>
      <w:proofErr w:type="spellEnd"/>
      <w:r w:rsidRPr="00294C51">
        <w:t xml:space="preserve"> med et </w:t>
      </w:r>
      <w:proofErr w:type="spellStart"/>
      <w:r w:rsidRPr="00294C51">
        <w:t>parenteralt</w:t>
      </w:r>
      <w:proofErr w:type="spellEnd"/>
      <w:r w:rsidRPr="00294C51">
        <w:t xml:space="preserve"> </w:t>
      </w:r>
      <w:proofErr w:type="spellStart"/>
      <w:r w:rsidRPr="00294C51">
        <w:t>antikoagulantia</w:t>
      </w:r>
      <w:proofErr w:type="spellEnd"/>
      <w:r w:rsidRPr="00294C51">
        <w:t xml:space="preserve">. </w:t>
      </w:r>
      <w:proofErr w:type="spellStart"/>
      <w:r w:rsidRPr="00294C51">
        <w:t>For</w:t>
      </w:r>
      <w:proofErr w:type="spellEnd"/>
      <w:r w:rsidRPr="00294C51">
        <w:t xml:space="preserve"> at </w:t>
      </w:r>
      <w:proofErr w:type="spellStart"/>
      <w:r w:rsidRPr="00294C51">
        <w:t>forhindre</w:t>
      </w:r>
      <w:proofErr w:type="spellEnd"/>
      <w:r w:rsidRPr="00294C51">
        <w:t xml:space="preserve"> </w:t>
      </w:r>
      <w:proofErr w:type="spellStart"/>
      <w:r w:rsidRPr="00294C51">
        <w:t>recidiverende</w:t>
      </w:r>
      <w:proofErr w:type="spellEnd"/>
      <w:r w:rsidRPr="00294C51">
        <w:t xml:space="preserve"> VTE </w:t>
      </w:r>
      <w:proofErr w:type="spellStart"/>
      <w:r w:rsidRPr="00294C51">
        <w:t>bør</w:t>
      </w:r>
      <w:proofErr w:type="spellEnd"/>
      <w:r w:rsidRPr="00294C51">
        <w:t xml:space="preserve"> </w:t>
      </w:r>
      <w:proofErr w:type="spellStart"/>
      <w:r w:rsidRPr="00294C51">
        <w:t>behandlingen</w:t>
      </w:r>
      <w:proofErr w:type="spellEnd"/>
      <w:r w:rsidRPr="00294C51">
        <w:t xml:space="preserve"> </w:t>
      </w:r>
      <w:proofErr w:type="spellStart"/>
      <w:r w:rsidRPr="00294C51">
        <w:t>påbegyndes</w:t>
      </w:r>
      <w:proofErr w:type="spellEnd"/>
      <w:r w:rsidRPr="00294C51">
        <w:t xml:space="preserve"> </w:t>
      </w:r>
      <w:proofErr w:type="spellStart"/>
      <w:r w:rsidRPr="00294C51">
        <w:t>efter</w:t>
      </w:r>
      <w:proofErr w:type="spellEnd"/>
      <w:r w:rsidRPr="00294C51">
        <w:t xml:space="preserve"> den </w:t>
      </w:r>
      <w:proofErr w:type="spellStart"/>
      <w:r w:rsidRPr="00294C51">
        <w:t>foregående</w:t>
      </w:r>
      <w:proofErr w:type="spellEnd"/>
      <w:r w:rsidRPr="00294C51">
        <w:t xml:space="preserve"> </w:t>
      </w:r>
      <w:proofErr w:type="spellStart"/>
      <w:r w:rsidRPr="00294C51">
        <w:t>behandling</w:t>
      </w:r>
      <w:proofErr w:type="spellEnd"/>
      <w:r w:rsidRPr="00294C51">
        <w:t>.</w:t>
      </w:r>
    </w:p>
    <w:p w14:paraId="69E600CC" w14:textId="372C96CC" w:rsidR="00882603" w:rsidRPr="009A11A6" w:rsidRDefault="00882603" w:rsidP="00882603">
      <w:pPr>
        <w:rPr>
          <w:lang w:val="da-DK"/>
        </w:rPr>
      </w:pPr>
      <w:proofErr w:type="spellStart"/>
      <w:r w:rsidRPr="00294C51">
        <w:t>Når</w:t>
      </w:r>
      <w:proofErr w:type="spellEnd"/>
      <w:r w:rsidRPr="00294C51">
        <w:t xml:space="preserve"> der </w:t>
      </w:r>
      <w:proofErr w:type="spellStart"/>
      <w:r w:rsidRPr="00294C51">
        <w:t>skiftes</w:t>
      </w:r>
      <w:proofErr w:type="spellEnd"/>
      <w:r w:rsidRPr="00294C51">
        <w:t xml:space="preserve"> </w:t>
      </w:r>
      <w:proofErr w:type="spellStart"/>
      <w:r w:rsidRPr="00294C51">
        <w:t>mellem</w:t>
      </w:r>
      <w:proofErr w:type="spellEnd"/>
      <w:r w:rsidRPr="00294C51">
        <w:t xml:space="preserve"> </w:t>
      </w:r>
      <w:proofErr w:type="spellStart"/>
      <w:r w:rsidRPr="00294C51">
        <w:t>administrationsmåder</w:t>
      </w:r>
      <w:proofErr w:type="spellEnd"/>
      <w:r w:rsidRPr="00294C51">
        <w:t xml:space="preserve">, </w:t>
      </w:r>
      <w:proofErr w:type="spellStart"/>
      <w:r w:rsidRPr="00294C51">
        <w:t>kan</w:t>
      </w:r>
      <w:proofErr w:type="spellEnd"/>
      <w:r w:rsidRPr="00294C51">
        <w:t xml:space="preserve"> </w:t>
      </w:r>
      <w:proofErr w:type="spellStart"/>
      <w:r w:rsidRPr="00294C51">
        <w:t>det</w:t>
      </w:r>
      <w:proofErr w:type="spellEnd"/>
      <w:r w:rsidRPr="00294C51">
        <w:t xml:space="preserve"> </w:t>
      </w:r>
      <w:proofErr w:type="spellStart"/>
      <w:r w:rsidRPr="00294C51">
        <w:t>være</w:t>
      </w:r>
      <w:proofErr w:type="spellEnd"/>
      <w:r w:rsidRPr="00294C51">
        <w:t xml:space="preserve"> </w:t>
      </w:r>
      <w:proofErr w:type="spellStart"/>
      <w:r w:rsidRPr="00294C51">
        <w:t>nødvendigt</w:t>
      </w:r>
      <w:proofErr w:type="spellEnd"/>
      <w:r w:rsidRPr="00294C51">
        <w:t xml:space="preserve"> at </w:t>
      </w:r>
      <w:proofErr w:type="spellStart"/>
      <w:r w:rsidRPr="00294C51">
        <w:t>ændre</w:t>
      </w:r>
      <w:proofErr w:type="spellEnd"/>
      <w:r w:rsidRPr="00294C51">
        <w:t xml:space="preserve"> den </w:t>
      </w:r>
      <w:proofErr w:type="spellStart"/>
      <w:r w:rsidRPr="00294C51">
        <w:t>ordinerede</w:t>
      </w:r>
      <w:proofErr w:type="spellEnd"/>
      <w:r w:rsidRPr="00294C51">
        <w:t xml:space="preserve"> </w:t>
      </w:r>
      <w:proofErr w:type="spellStart"/>
      <w:r w:rsidRPr="00294C51">
        <w:t>dosis</w:t>
      </w:r>
      <w:proofErr w:type="spellEnd"/>
      <w:r w:rsidRPr="00294C51">
        <w:t xml:space="preserve">, da de </w:t>
      </w:r>
      <w:proofErr w:type="spellStart"/>
      <w:r w:rsidRPr="00294C51">
        <w:t>forskellige</w:t>
      </w:r>
      <w:proofErr w:type="spellEnd"/>
      <w:r w:rsidRPr="00294C51">
        <w:t xml:space="preserve"> </w:t>
      </w:r>
      <w:proofErr w:type="spellStart"/>
      <w:r w:rsidRPr="00294C51">
        <w:t>administrationsformer</w:t>
      </w:r>
      <w:proofErr w:type="spellEnd"/>
      <w:r w:rsidRPr="00294C51">
        <w:t xml:space="preserve"> </w:t>
      </w:r>
      <w:proofErr w:type="spellStart"/>
      <w:r w:rsidRPr="00294C51">
        <w:t>kan</w:t>
      </w:r>
      <w:proofErr w:type="spellEnd"/>
      <w:r w:rsidRPr="00294C51">
        <w:t xml:space="preserve"> </w:t>
      </w:r>
      <w:proofErr w:type="spellStart"/>
      <w:r w:rsidRPr="00294C51">
        <w:t>have</w:t>
      </w:r>
      <w:proofErr w:type="spellEnd"/>
      <w:r w:rsidRPr="00294C51">
        <w:t xml:space="preserve"> </w:t>
      </w:r>
      <w:proofErr w:type="spellStart"/>
      <w:r w:rsidRPr="00294C51">
        <w:t>forskellige</w:t>
      </w:r>
      <w:proofErr w:type="spellEnd"/>
      <w:r w:rsidRPr="00294C51">
        <w:t xml:space="preserve"> nominelle </w:t>
      </w:r>
      <w:proofErr w:type="spellStart"/>
      <w:r w:rsidRPr="00294C51">
        <w:t>doser</w:t>
      </w:r>
      <w:proofErr w:type="spellEnd"/>
      <w:r w:rsidRPr="00294C51">
        <w:t xml:space="preserve"> </w:t>
      </w:r>
      <w:proofErr w:type="spellStart"/>
      <w:r w:rsidRPr="00294C51">
        <w:t>for</w:t>
      </w:r>
      <w:proofErr w:type="spellEnd"/>
      <w:r w:rsidRPr="00294C51">
        <w:t xml:space="preserve"> </w:t>
      </w:r>
      <w:proofErr w:type="spellStart"/>
      <w:r w:rsidRPr="00294C51">
        <w:t>samme</w:t>
      </w:r>
      <w:proofErr w:type="spellEnd"/>
      <w:r w:rsidRPr="00294C51">
        <w:t xml:space="preserve"> </w:t>
      </w:r>
      <w:proofErr w:type="spellStart"/>
      <w:r w:rsidRPr="00294C51">
        <w:t>vægt</w:t>
      </w:r>
      <w:proofErr w:type="spellEnd"/>
      <w:r w:rsidRPr="00294C51">
        <w:t xml:space="preserve"> </w:t>
      </w:r>
      <w:proofErr w:type="spellStart"/>
      <w:r w:rsidRPr="00294C51">
        <w:t>og</w:t>
      </w:r>
      <w:proofErr w:type="spellEnd"/>
      <w:r w:rsidRPr="00294C51">
        <w:t xml:space="preserve"> </w:t>
      </w:r>
      <w:proofErr w:type="spellStart"/>
      <w:r w:rsidRPr="00294C51">
        <w:t>alder</w:t>
      </w:r>
      <w:proofErr w:type="spellEnd"/>
      <w:r w:rsidRPr="00294C51">
        <w:t xml:space="preserve"> </w:t>
      </w:r>
      <w:proofErr w:type="spellStart"/>
      <w:r w:rsidRPr="00294C51">
        <w:t>af</w:t>
      </w:r>
      <w:proofErr w:type="spellEnd"/>
      <w:r w:rsidRPr="00294C51">
        <w:t xml:space="preserve"> </w:t>
      </w:r>
      <w:proofErr w:type="spellStart"/>
      <w:r w:rsidRPr="00294C51">
        <w:t>barnet</w:t>
      </w:r>
      <w:proofErr w:type="spellEnd"/>
      <w:r w:rsidRPr="00294C51">
        <w:t xml:space="preserve">. </w:t>
      </w:r>
      <w:proofErr w:type="spellStart"/>
      <w:r w:rsidRPr="00294C51">
        <w:t>Afhængigt</w:t>
      </w:r>
      <w:proofErr w:type="spellEnd"/>
      <w:r w:rsidRPr="00294C51">
        <w:t xml:space="preserve"> </w:t>
      </w:r>
      <w:proofErr w:type="spellStart"/>
      <w:r w:rsidRPr="00294C51">
        <w:t>af</w:t>
      </w:r>
      <w:proofErr w:type="spellEnd"/>
      <w:r w:rsidRPr="00294C51">
        <w:t xml:space="preserve"> </w:t>
      </w:r>
      <w:proofErr w:type="spellStart"/>
      <w:r w:rsidRPr="00294C51">
        <w:t>barnets</w:t>
      </w:r>
      <w:proofErr w:type="spellEnd"/>
      <w:r w:rsidRPr="00294C51">
        <w:t xml:space="preserve"> </w:t>
      </w:r>
      <w:proofErr w:type="spellStart"/>
      <w:r w:rsidRPr="00294C51">
        <w:t>vægt</w:t>
      </w:r>
      <w:proofErr w:type="spellEnd"/>
      <w:r w:rsidRPr="00294C51">
        <w:t xml:space="preserve"> </w:t>
      </w:r>
      <w:proofErr w:type="spellStart"/>
      <w:r w:rsidRPr="00294C51">
        <w:t>og</w:t>
      </w:r>
      <w:proofErr w:type="spellEnd"/>
      <w:r w:rsidRPr="00294C51">
        <w:t xml:space="preserve"> </w:t>
      </w:r>
      <w:proofErr w:type="spellStart"/>
      <w:r w:rsidRPr="00294C51">
        <w:t>alder</w:t>
      </w:r>
      <w:proofErr w:type="spellEnd"/>
      <w:r w:rsidRPr="00294C51">
        <w:t xml:space="preserve"> </w:t>
      </w:r>
      <w:proofErr w:type="spellStart"/>
      <w:r w:rsidRPr="00294C51">
        <w:t>skal</w:t>
      </w:r>
      <w:proofErr w:type="spellEnd"/>
      <w:r w:rsidRPr="00294C51">
        <w:t xml:space="preserve"> </w:t>
      </w:r>
      <w:proofErr w:type="spellStart"/>
      <w:r w:rsidRPr="00294C51">
        <w:t>dosis</w:t>
      </w:r>
      <w:proofErr w:type="spellEnd"/>
      <w:r w:rsidRPr="00294C51">
        <w:t xml:space="preserve"> </w:t>
      </w:r>
      <w:proofErr w:type="spellStart"/>
      <w:r w:rsidRPr="00294C51">
        <w:t>ordineres</w:t>
      </w:r>
      <w:proofErr w:type="spellEnd"/>
      <w:r w:rsidRPr="00294C51">
        <w:t xml:space="preserve"> i </w:t>
      </w:r>
      <w:proofErr w:type="spellStart"/>
      <w:r w:rsidRPr="00294C51">
        <w:t>henhold</w:t>
      </w:r>
      <w:proofErr w:type="spellEnd"/>
      <w:r w:rsidRPr="00294C51">
        <w:t xml:space="preserve"> </w:t>
      </w:r>
      <w:proofErr w:type="spellStart"/>
      <w:r w:rsidRPr="00294C51">
        <w:t>til</w:t>
      </w:r>
      <w:proofErr w:type="spellEnd"/>
      <w:r w:rsidRPr="00294C51">
        <w:t xml:space="preserve"> den relevante </w:t>
      </w:r>
      <w:proofErr w:type="spellStart"/>
      <w:r w:rsidRPr="00294C51">
        <w:t>doseringstabel</w:t>
      </w:r>
      <w:proofErr w:type="spellEnd"/>
      <w:r w:rsidRPr="00294C51">
        <w:t xml:space="preserve"> </w:t>
      </w:r>
      <w:proofErr w:type="spellStart"/>
      <w:r w:rsidRPr="00294C51">
        <w:t>for</w:t>
      </w:r>
      <w:proofErr w:type="spellEnd"/>
      <w:r w:rsidRPr="00294C51">
        <w:t xml:space="preserve"> den respektive administrationsform.</w:t>
      </w:r>
    </w:p>
    <w:p w14:paraId="37B96F8C" w14:textId="43EABC6D" w:rsidR="00882603" w:rsidRPr="009A11A6" w:rsidRDefault="00882603" w:rsidP="00882603">
      <w:pPr>
        <w:rPr>
          <w:lang w:val="da-DK"/>
        </w:rPr>
      </w:pPr>
      <w:proofErr w:type="spellStart"/>
      <w:r w:rsidRPr="00294C51">
        <w:rPr>
          <w:b/>
          <w:bCs/>
        </w:rPr>
        <w:t>Dabigatranetexilat</w:t>
      </w:r>
      <w:proofErr w:type="spellEnd"/>
      <w:r w:rsidRPr="00294C51">
        <w:rPr>
          <w:b/>
          <w:bCs/>
        </w:rPr>
        <w:t xml:space="preserve"> </w:t>
      </w:r>
      <w:proofErr w:type="spellStart"/>
      <w:r w:rsidRPr="00294C51">
        <w:rPr>
          <w:b/>
          <w:bCs/>
        </w:rPr>
        <w:t>bør</w:t>
      </w:r>
      <w:proofErr w:type="spellEnd"/>
      <w:r w:rsidRPr="00294C51">
        <w:rPr>
          <w:b/>
          <w:bCs/>
        </w:rPr>
        <w:t xml:space="preserve"> </w:t>
      </w:r>
      <w:proofErr w:type="spellStart"/>
      <w:r w:rsidRPr="00294C51">
        <w:rPr>
          <w:b/>
          <w:bCs/>
        </w:rPr>
        <w:t>tages</w:t>
      </w:r>
      <w:proofErr w:type="spellEnd"/>
      <w:r w:rsidRPr="00294C51">
        <w:rPr>
          <w:b/>
          <w:bCs/>
        </w:rPr>
        <w:t xml:space="preserve"> </w:t>
      </w:r>
      <w:proofErr w:type="spellStart"/>
      <w:r w:rsidRPr="00294C51">
        <w:rPr>
          <w:b/>
          <w:bCs/>
        </w:rPr>
        <w:t>to</w:t>
      </w:r>
      <w:proofErr w:type="spellEnd"/>
      <w:r w:rsidRPr="00294C51">
        <w:rPr>
          <w:b/>
          <w:bCs/>
        </w:rPr>
        <w:t xml:space="preserve"> </w:t>
      </w:r>
      <w:proofErr w:type="spellStart"/>
      <w:r w:rsidRPr="00294C51">
        <w:rPr>
          <w:b/>
          <w:bCs/>
        </w:rPr>
        <w:t>gange</w:t>
      </w:r>
      <w:proofErr w:type="spellEnd"/>
      <w:r w:rsidRPr="00294C51">
        <w:rPr>
          <w:b/>
          <w:bCs/>
        </w:rPr>
        <w:t xml:space="preserve"> </w:t>
      </w:r>
      <w:proofErr w:type="spellStart"/>
      <w:r w:rsidRPr="00294C51">
        <w:rPr>
          <w:b/>
          <w:bCs/>
        </w:rPr>
        <w:t>dagligt</w:t>
      </w:r>
      <w:proofErr w:type="spellEnd"/>
      <w:r w:rsidRPr="00294C51">
        <w:rPr>
          <w:b/>
          <w:bCs/>
        </w:rPr>
        <w:t>:</w:t>
      </w:r>
      <w:r w:rsidRPr="00294C51">
        <w:t xml:space="preserve"> en </w:t>
      </w:r>
      <w:proofErr w:type="spellStart"/>
      <w:r w:rsidR="00117EC3" w:rsidRPr="00294C51">
        <w:t>dosis</w:t>
      </w:r>
      <w:proofErr w:type="spellEnd"/>
      <w:r w:rsidR="00117EC3" w:rsidRPr="00294C51">
        <w:t xml:space="preserve"> </w:t>
      </w:r>
      <w:proofErr w:type="spellStart"/>
      <w:r w:rsidR="00117EC3" w:rsidRPr="00294C51">
        <w:t>om</w:t>
      </w:r>
      <w:proofErr w:type="spellEnd"/>
      <w:r w:rsidRPr="00294C51">
        <w:t xml:space="preserve"> </w:t>
      </w:r>
      <w:proofErr w:type="spellStart"/>
      <w:r w:rsidRPr="00294C51">
        <w:t>morgenen</w:t>
      </w:r>
      <w:proofErr w:type="spellEnd"/>
      <w:r w:rsidRPr="00294C51">
        <w:t xml:space="preserve"> </w:t>
      </w:r>
      <w:proofErr w:type="spellStart"/>
      <w:r w:rsidRPr="00294C51">
        <w:t>og</w:t>
      </w:r>
      <w:proofErr w:type="spellEnd"/>
      <w:r w:rsidRPr="00294C51">
        <w:t xml:space="preserve"> en </w:t>
      </w:r>
      <w:proofErr w:type="spellStart"/>
      <w:r w:rsidRPr="00294C51">
        <w:t>dosis</w:t>
      </w:r>
      <w:proofErr w:type="spellEnd"/>
      <w:r w:rsidRPr="00294C51">
        <w:t xml:space="preserve"> </w:t>
      </w:r>
      <w:proofErr w:type="spellStart"/>
      <w:r w:rsidRPr="00294C51">
        <w:t>om</w:t>
      </w:r>
      <w:proofErr w:type="spellEnd"/>
      <w:r w:rsidRPr="00294C51">
        <w:t xml:space="preserve"> </w:t>
      </w:r>
      <w:proofErr w:type="spellStart"/>
      <w:r w:rsidRPr="00294C51">
        <w:t>aftenen</w:t>
      </w:r>
      <w:proofErr w:type="spellEnd"/>
      <w:r w:rsidRPr="00294C51">
        <w:t xml:space="preserve"> </w:t>
      </w:r>
      <w:proofErr w:type="spellStart"/>
      <w:r w:rsidRPr="00294C51">
        <w:t>på</w:t>
      </w:r>
      <w:proofErr w:type="spellEnd"/>
      <w:r w:rsidRPr="00294C51">
        <w:t xml:space="preserve"> </w:t>
      </w:r>
      <w:proofErr w:type="spellStart"/>
      <w:r w:rsidRPr="00294C51">
        <w:t>omtrent</w:t>
      </w:r>
      <w:proofErr w:type="spellEnd"/>
      <w:r w:rsidRPr="00294C51">
        <w:t xml:space="preserve"> </w:t>
      </w:r>
      <w:proofErr w:type="spellStart"/>
      <w:r w:rsidRPr="00294C51">
        <w:t>samme</w:t>
      </w:r>
      <w:proofErr w:type="spellEnd"/>
      <w:r w:rsidRPr="00294C51">
        <w:t xml:space="preserve"> </w:t>
      </w:r>
      <w:proofErr w:type="spellStart"/>
      <w:r w:rsidRPr="00294C51">
        <w:t>tidspunkt</w:t>
      </w:r>
      <w:proofErr w:type="spellEnd"/>
      <w:r w:rsidRPr="00294C51">
        <w:t xml:space="preserve"> </w:t>
      </w:r>
      <w:proofErr w:type="spellStart"/>
      <w:r w:rsidRPr="00294C51">
        <w:t>hver</w:t>
      </w:r>
      <w:proofErr w:type="spellEnd"/>
      <w:r w:rsidRPr="00294C51">
        <w:t xml:space="preserve"> </w:t>
      </w:r>
      <w:proofErr w:type="spellStart"/>
      <w:r w:rsidRPr="00294C51">
        <w:t>dag</w:t>
      </w:r>
      <w:proofErr w:type="spellEnd"/>
      <w:r w:rsidRPr="00294C51">
        <w:t xml:space="preserve">. </w:t>
      </w:r>
      <w:proofErr w:type="spellStart"/>
      <w:r w:rsidRPr="00294C51">
        <w:t>Doseringsintervallet</w:t>
      </w:r>
      <w:proofErr w:type="spellEnd"/>
      <w:r w:rsidRPr="00294C51">
        <w:t xml:space="preserve"> </w:t>
      </w:r>
      <w:proofErr w:type="spellStart"/>
      <w:r w:rsidRPr="00294C51">
        <w:t>bør</w:t>
      </w:r>
      <w:proofErr w:type="spellEnd"/>
      <w:r w:rsidRPr="00294C51">
        <w:t xml:space="preserve"> </w:t>
      </w:r>
      <w:proofErr w:type="spellStart"/>
      <w:r w:rsidRPr="00294C51">
        <w:t>være</w:t>
      </w:r>
      <w:proofErr w:type="spellEnd"/>
      <w:r w:rsidRPr="00294C51">
        <w:t xml:space="preserve"> 12 </w:t>
      </w:r>
      <w:proofErr w:type="spellStart"/>
      <w:r w:rsidRPr="00294C51">
        <w:t>timer</w:t>
      </w:r>
      <w:proofErr w:type="spellEnd"/>
      <w:r w:rsidRPr="00294C51">
        <w:t xml:space="preserve">, </w:t>
      </w:r>
      <w:proofErr w:type="spellStart"/>
      <w:r w:rsidRPr="00294C51">
        <w:t>hvis</w:t>
      </w:r>
      <w:proofErr w:type="spellEnd"/>
      <w:r w:rsidRPr="00294C51">
        <w:t xml:space="preserve"> </w:t>
      </w:r>
      <w:proofErr w:type="spellStart"/>
      <w:r w:rsidRPr="00294C51">
        <w:t>det</w:t>
      </w:r>
      <w:proofErr w:type="spellEnd"/>
      <w:r w:rsidRPr="00294C51">
        <w:t xml:space="preserve"> er </w:t>
      </w:r>
      <w:proofErr w:type="spellStart"/>
      <w:r w:rsidRPr="00294C51">
        <w:t>muligt</w:t>
      </w:r>
      <w:proofErr w:type="spellEnd"/>
      <w:r w:rsidRPr="00294C51">
        <w:t>.</w:t>
      </w:r>
    </w:p>
    <w:p w14:paraId="60918E70" w14:textId="384C7E6A" w:rsidR="00410892" w:rsidRPr="009A11A6" w:rsidRDefault="00410892" w:rsidP="00882603">
      <w:pPr>
        <w:rPr>
          <w:lang w:val="da-DK"/>
        </w:rPr>
      </w:pPr>
      <w:proofErr w:type="spellStart"/>
      <w:r w:rsidRPr="00294C51">
        <w:rPr>
          <w:b/>
        </w:rPr>
        <w:t>Dabigatranetexilat</w:t>
      </w:r>
      <w:proofErr w:type="spellEnd"/>
      <w:r w:rsidRPr="00294C51">
        <w:rPr>
          <w:b/>
        </w:rPr>
        <w:t xml:space="preserve"> 75 mg, 110 mg, 150 mg </w:t>
      </w:r>
      <w:proofErr w:type="spellStart"/>
      <w:r w:rsidRPr="00294C51">
        <w:rPr>
          <w:b/>
        </w:rPr>
        <w:t>kapsler</w:t>
      </w:r>
      <w:proofErr w:type="spellEnd"/>
    </w:p>
    <w:p w14:paraId="5091545E" w14:textId="079B6A6B" w:rsidR="00882603" w:rsidRPr="009A11A6" w:rsidRDefault="0098453A" w:rsidP="00882603">
      <w:pPr>
        <w:rPr>
          <w:lang w:val="da-DK"/>
        </w:rPr>
      </w:pPr>
      <w:proofErr w:type="spellStart"/>
      <w:r w:rsidRPr="00294C51">
        <w:t>Dabigatranetexilat</w:t>
      </w:r>
      <w:proofErr w:type="spellEnd"/>
      <w:r w:rsidRPr="00294C51">
        <w:t xml:space="preserve"> </w:t>
      </w:r>
      <w:proofErr w:type="spellStart"/>
      <w:r w:rsidRPr="00294C51">
        <w:t>kapsler</w:t>
      </w:r>
      <w:proofErr w:type="spellEnd"/>
      <w:r w:rsidRPr="00294C51">
        <w:t xml:space="preserve"> </w:t>
      </w:r>
      <w:proofErr w:type="spellStart"/>
      <w:r w:rsidRPr="00294C51">
        <w:t>kan</w:t>
      </w:r>
      <w:proofErr w:type="spellEnd"/>
      <w:r w:rsidRPr="00294C51">
        <w:t xml:space="preserve"> </w:t>
      </w:r>
      <w:proofErr w:type="spellStart"/>
      <w:r w:rsidRPr="00294C51">
        <w:t>anvendes</w:t>
      </w:r>
      <w:proofErr w:type="spellEnd"/>
      <w:r w:rsidRPr="00294C51">
        <w:t xml:space="preserve"> </w:t>
      </w:r>
      <w:proofErr w:type="spellStart"/>
      <w:r w:rsidRPr="00294C51">
        <w:t>til</w:t>
      </w:r>
      <w:proofErr w:type="spellEnd"/>
      <w:r w:rsidRPr="00294C51">
        <w:t xml:space="preserve"> </w:t>
      </w:r>
      <w:proofErr w:type="spellStart"/>
      <w:r w:rsidRPr="00294C51">
        <w:t>børn</w:t>
      </w:r>
      <w:proofErr w:type="spellEnd"/>
      <w:r w:rsidRPr="00294C51">
        <w:t xml:space="preserve"> i </w:t>
      </w:r>
      <w:proofErr w:type="spellStart"/>
      <w:r w:rsidRPr="00294C51">
        <w:t>alderen</w:t>
      </w:r>
      <w:proofErr w:type="spellEnd"/>
      <w:r w:rsidRPr="00294C51">
        <w:t xml:space="preserve"> 8 </w:t>
      </w:r>
      <w:proofErr w:type="spellStart"/>
      <w:r w:rsidRPr="00294C51">
        <w:t>år</w:t>
      </w:r>
      <w:proofErr w:type="spellEnd"/>
      <w:r w:rsidRPr="00294C51">
        <w:t xml:space="preserve"> </w:t>
      </w:r>
      <w:proofErr w:type="spellStart"/>
      <w:r w:rsidRPr="00294C51">
        <w:t>og</w:t>
      </w:r>
      <w:proofErr w:type="spellEnd"/>
      <w:r w:rsidRPr="00294C51">
        <w:t xml:space="preserve"> </w:t>
      </w:r>
      <w:proofErr w:type="spellStart"/>
      <w:r w:rsidRPr="00294C51">
        <w:t>ældre</w:t>
      </w:r>
      <w:proofErr w:type="spellEnd"/>
      <w:r w:rsidRPr="00294C51">
        <w:t xml:space="preserve"> </w:t>
      </w:r>
      <w:proofErr w:type="spellStart"/>
      <w:r w:rsidRPr="00294C51">
        <w:t>og</w:t>
      </w:r>
      <w:proofErr w:type="spellEnd"/>
      <w:r w:rsidRPr="00294C51">
        <w:t xml:space="preserve"> </w:t>
      </w:r>
      <w:proofErr w:type="spellStart"/>
      <w:r w:rsidRPr="00294C51">
        <w:t>unge</w:t>
      </w:r>
      <w:proofErr w:type="spellEnd"/>
      <w:r w:rsidRPr="00294C51">
        <w:t xml:space="preserve">, der er i stand </w:t>
      </w:r>
      <w:proofErr w:type="spellStart"/>
      <w:r w:rsidRPr="00294C51">
        <w:t>til</w:t>
      </w:r>
      <w:proofErr w:type="spellEnd"/>
      <w:r w:rsidRPr="00294C51">
        <w:t xml:space="preserve"> at </w:t>
      </w:r>
      <w:proofErr w:type="spellStart"/>
      <w:r w:rsidRPr="00294C51">
        <w:t>sluge</w:t>
      </w:r>
      <w:proofErr w:type="spellEnd"/>
      <w:r w:rsidRPr="00294C51">
        <w:t xml:space="preserve"> </w:t>
      </w:r>
      <w:proofErr w:type="spellStart"/>
      <w:r w:rsidRPr="00294C51">
        <w:t>kapslerne</w:t>
      </w:r>
      <w:proofErr w:type="spellEnd"/>
      <w:r w:rsidRPr="00294C51">
        <w:t xml:space="preserve"> </w:t>
      </w:r>
      <w:proofErr w:type="spellStart"/>
      <w:r w:rsidRPr="00294C51">
        <w:t>hele</w:t>
      </w:r>
      <w:proofErr w:type="spellEnd"/>
      <w:r w:rsidRPr="00294C51">
        <w:t xml:space="preserve">. Den </w:t>
      </w:r>
      <w:proofErr w:type="spellStart"/>
      <w:r w:rsidRPr="00294C51">
        <w:t>anbefalede</w:t>
      </w:r>
      <w:proofErr w:type="spellEnd"/>
      <w:r w:rsidRPr="00294C51">
        <w:t xml:space="preserve"> </w:t>
      </w:r>
      <w:proofErr w:type="spellStart"/>
      <w:r w:rsidRPr="00294C51">
        <w:t>dosis</w:t>
      </w:r>
      <w:proofErr w:type="spellEnd"/>
      <w:r w:rsidRPr="00294C51">
        <w:t xml:space="preserve"> </w:t>
      </w:r>
      <w:proofErr w:type="spellStart"/>
      <w:r w:rsidRPr="00294C51">
        <w:t>afhænger</w:t>
      </w:r>
      <w:proofErr w:type="spellEnd"/>
      <w:r w:rsidRPr="00294C51">
        <w:t xml:space="preserve"> </w:t>
      </w:r>
      <w:proofErr w:type="spellStart"/>
      <w:r w:rsidRPr="00294C51">
        <w:t>af</w:t>
      </w:r>
      <w:proofErr w:type="spellEnd"/>
      <w:r w:rsidRPr="00294C51">
        <w:t xml:space="preserve"> </w:t>
      </w:r>
      <w:proofErr w:type="spellStart"/>
      <w:r w:rsidRPr="00294C51">
        <w:t>patientens</w:t>
      </w:r>
      <w:proofErr w:type="spellEnd"/>
      <w:r w:rsidRPr="00294C51">
        <w:t xml:space="preserve"> </w:t>
      </w:r>
      <w:proofErr w:type="spellStart"/>
      <w:r w:rsidRPr="00294C51">
        <w:t>legemsvægt</w:t>
      </w:r>
      <w:proofErr w:type="spellEnd"/>
      <w:r w:rsidRPr="00294C51">
        <w:t xml:space="preserve"> </w:t>
      </w:r>
      <w:proofErr w:type="spellStart"/>
      <w:r w:rsidRPr="00294C51">
        <w:t>og</w:t>
      </w:r>
      <w:proofErr w:type="spellEnd"/>
      <w:r w:rsidRPr="00294C51">
        <w:t xml:space="preserve"> </w:t>
      </w:r>
      <w:proofErr w:type="spellStart"/>
      <w:r w:rsidRPr="00294C51">
        <w:t>alder</w:t>
      </w:r>
      <w:proofErr w:type="spellEnd"/>
      <w:r w:rsidRPr="00294C51">
        <w:t xml:space="preserve"> </w:t>
      </w:r>
      <w:proofErr w:type="spellStart"/>
      <w:r w:rsidRPr="00294C51">
        <w:t>og</w:t>
      </w:r>
      <w:proofErr w:type="spellEnd"/>
      <w:r w:rsidRPr="00294C51">
        <w:t xml:space="preserve"> er </w:t>
      </w:r>
      <w:proofErr w:type="spellStart"/>
      <w:r w:rsidRPr="00294C51">
        <w:t>vist</w:t>
      </w:r>
      <w:proofErr w:type="spellEnd"/>
      <w:r w:rsidRPr="00294C51">
        <w:t xml:space="preserve"> i </w:t>
      </w:r>
      <w:proofErr w:type="spellStart"/>
      <w:r w:rsidRPr="00294C51">
        <w:t>tabel</w:t>
      </w:r>
      <w:proofErr w:type="spellEnd"/>
      <w:r w:rsidRPr="00294C51">
        <w:t xml:space="preserve"> 1.</w:t>
      </w:r>
    </w:p>
    <w:p w14:paraId="1B4A4B10" w14:textId="7828AAEF" w:rsidR="00882603" w:rsidRPr="009A11A6" w:rsidRDefault="00882603" w:rsidP="00882603">
      <w:pPr>
        <w:rPr>
          <w:lang w:val="da-DK"/>
        </w:rPr>
      </w:pPr>
      <w:proofErr w:type="spellStart"/>
      <w:r w:rsidRPr="00294C51">
        <w:t>Efterhånden</w:t>
      </w:r>
      <w:proofErr w:type="spellEnd"/>
      <w:r w:rsidRPr="00294C51">
        <w:t xml:space="preserve"> </w:t>
      </w:r>
      <w:proofErr w:type="spellStart"/>
      <w:r w:rsidRPr="00294C51">
        <w:t>som</w:t>
      </w:r>
      <w:proofErr w:type="spellEnd"/>
      <w:r w:rsidRPr="00294C51">
        <w:t xml:space="preserve"> </w:t>
      </w:r>
      <w:proofErr w:type="spellStart"/>
      <w:r w:rsidRPr="00294C51">
        <w:t>behandlingen</w:t>
      </w:r>
      <w:proofErr w:type="spellEnd"/>
      <w:r w:rsidRPr="00294C51">
        <w:t xml:space="preserve"> </w:t>
      </w:r>
      <w:proofErr w:type="spellStart"/>
      <w:r w:rsidRPr="00294C51">
        <w:t>skrider</w:t>
      </w:r>
      <w:proofErr w:type="spellEnd"/>
      <w:r w:rsidRPr="00294C51">
        <w:t xml:space="preserve"> </w:t>
      </w:r>
      <w:proofErr w:type="spellStart"/>
      <w:r w:rsidRPr="00294C51">
        <w:t>frem</w:t>
      </w:r>
      <w:proofErr w:type="spellEnd"/>
      <w:r w:rsidRPr="00294C51">
        <w:t xml:space="preserve">, </w:t>
      </w:r>
      <w:proofErr w:type="spellStart"/>
      <w:r w:rsidRPr="00294C51">
        <w:t>bør</w:t>
      </w:r>
      <w:proofErr w:type="spellEnd"/>
      <w:r w:rsidRPr="00294C51">
        <w:t xml:space="preserve"> </w:t>
      </w:r>
      <w:proofErr w:type="spellStart"/>
      <w:r w:rsidRPr="00294C51">
        <w:t>dosis</w:t>
      </w:r>
      <w:proofErr w:type="spellEnd"/>
      <w:r w:rsidRPr="00294C51">
        <w:t xml:space="preserve"> </w:t>
      </w:r>
      <w:proofErr w:type="spellStart"/>
      <w:r w:rsidRPr="00294C51">
        <w:t>justeres</w:t>
      </w:r>
      <w:proofErr w:type="spellEnd"/>
      <w:r w:rsidRPr="00294C51">
        <w:t xml:space="preserve"> i </w:t>
      </w:r>
      <w:proofErr w:type="spellStart"/>
      <w:r w:rsidRPr="00294C51">
        <w:t>henhold</w:t>
      </w:r>
      <w:proofErr w:type="spellEnd"/>
      <w:r w:rsidRPr="00294C51">
        <w:t xml:space="preserve"> </w:t>
      </w:r>
      <w:proofErr w:type="spellStart"/>
      <w:r w:rsidRPr="00294C51">
        <w:t>til</w:t>
      </w:r>
      <w:proofErr w:type="spellEnd"/>
      <w:r w:rsidRPr="00294C51">
        <w:t xml:space="preserve"> </w:t>
      </w:r>
      <w:proofErr w:type="spellStart"/>
      <w:r w:rsidRPr="00294C51">
        <w:t>legemsvægt</w:t>
      </w:r>
      <w:proofErr w:type="spellEnd"/>
      <w:r w:rsidRPr="00294C51">
        <w:t xml:space="preserve"> </w:t>
      </w:r>
      <w:proofErr w:type="spellStart"/>
      <w:r w:rsidRPr="00294C51">
        <w:t>og</w:t>
      </w:r>
      <w:proofErr w:type="spellEnd"/>
      <w:r w:rsidRPr="00294C51">
        <w:t xml:space="preserve"> </w:t>
      </w:r>
      <w:proofErr w:type="spellStart"/>
      <w:r w:rsidRPr="00294C51">
        <w:t>alder</w:t>
      </w:r>
      <w:proofErr w:type="spellEnd"/>
      <w:r w:rsidRPr="00294C51">
        <w:t xml:space="preserve">. </w:t>
      </w:r>
      <w:r w:rsidR="00E57D91" w:rsidRPr="00E57D91">
        <w:t xml:space="preserve">Der </w:t>
      </w:r>
      <w:proofErr w:type="spellStart"/>
      <w:r w:rsidR="00E57D91" w:rsidRPr="00E57D91">
        <w:t>kan</w:t>
      </w:r>
      <w:proofErr w:type="spellEnd"/>
      <w:r w:rsidR="00E57D91" w:rsidRPr="00E57D91">
        <w:t xml:space="preserve"> </w:t>
      </w:r>
      <w:proofErr w:type="spellStart"/>
      <w:r w:rsidR="00E57D91" w:rsidRPr="00E57D91">
        <w:t>ikke</w:t>
      </w:r>
      <w:proofErr w:type="spellEnd"/>
      <w:r w:rsidR="00E57D91" w:rsidRPr="00E57D91">
        <w:t xml:space="preserve"> </w:t>
      </w:r>
      <w:proofErr w:type="spellStart"/>
      <w:r w:rsidR="00E57D91" w:rsidRPr="00E57D91">
        <w:t>gives</w:t>
      </w:r>
      <w:proofErr w:type="spellEnd"/>
      <w:r w:rsidR="00E57D91" w:rsidRPr="00E57D91">
        <w:t xml:space="preserve"> </w:t>
      </w:r>
      <w:proofErr w:type="spellStart"/>
      <w:r w:rsidR="00E57D91" w:rsidRPr="00E57D91">
        <w:t>doseringsanbefalinger</w:t>
      </w:r>
      <w:proofErr w:type="spellEnd"/>
      <w:r w:rsidR="00E57D91" w:rsidRPr="00E57D91">
        <w:t xml:space="preserve"> </w:t>
      </w:r>
      <w:proofErr w:type="spellStart"/>
      <w:r w:rsidR="00E57D91" w:rsidRPr="00E57D91">
        <w:t>for</w:t>
      </w:r>
      <w:proofErr w:type="spellEnd"/>
      <w:r w:rsidR="00E57D91" w:rsidRPr="00E57D91">
        <w:t xml:space="preserve"> </w:t>
      </w:r>
      <w:proofErr w:type="spellStart"/>
      <w:r w:rsidR="00E57D91" w:rsidRPr="00E57D91">
        <w:t>vægt</w:t>
      </w:r>
      <w:proofErr w:type="spellEnd"/>
      <w:r w:rsidR="00E57D91" w:rsidRPr="00E57D91">
        <w:t xml:space="preserve">- </w:t>
      </w:r>
      <w:proofErr w:type="spellStart"/>
      <w:r w:rsidR="00E57D91" w:rsidRPr="00E57D91">
        <w:t>og</w:t>
      </w:r>
      <w:proofErr w:type="spellEnd"/>
      <w:r w:rsidR="00E57D91" w:rsidRPr="00E57D91">
        <w:t xml:space="preserve"> </w:t>
      </w:r>
      <w:proofErr w:type="spellStart"/>
      <w:r w:rsidR="00E57D91" w:rsidRPr="00E57D91">
        <w:t>alderskombinationer</w:t>
      </w:r>
      <w:proofErr w:type="spellEnd"/>
      <w:r w:rsidR="00E57D91" w:rsidRPr="00E57D91">
        <w:t xml:space="preserve">, der </w:t>
      </w:r>
      <w:proofErr w:type="spellStart"/>
      <w:r w:rsidR="00E57D91" w:rsidRPr="00E57D91">
        <w:t>ikke</w:t>
      </w:r>
      <w:proofErr w:type="spellEnd"/>
      <w:r w:rsidR="00E57D91" w:rsidRPr="00E57D91">
        <w:t xml:space="preserve"> er </w:t>
      </w:r>
      <w:proofErr w:type="spellStart"/>
      <w:r w:rsidR="00E57D91" w:rsidRPr="00E57D91">
        <w:t>anført</w:t>
      </w:r>
      <w:proofErr w:type="spellEnd"/>
      <w:r w:rsidR="00E57D91" w:rsidRPr="00E57D91">
        <w:t xml:space="preserve"> i </w:t>
      </w:r>
      <w:proofErr w:type="spellStart"/>
      <w:r w:rsidR="00E57D91" w:rsidRPr="00E57D91">
        <w:t>doseringstabellen</w:t>
      </w:r>
      <w:proofErr w:type="spellEnd"/>
    </w:p>
    <w:p w14:paraId="480B538D" w14:textId="03BA7687" w:rsidR="00882603" w:rsidRPr="009A11A6" w:rsidRDefault="00882603" w:rsidP="00882603">
      <w:pPr>
        <w:rPr>
          <w:b/>
          <w:bCs/>
          <w:lang w:val="da-DK"/>
        </w:rPr>
      </w:pPr>
      <w:proofErr w:type="spellStart"/>
      <w:r w:rsidRPr="00294C51">
        <w:rPr>
          <w:b/>
          <w:bCs/>
        </w:rPr>
        <w:t>Tabel</w:t>
      </w:r>
      <w:proofErr w:type="spellEnd"/>
      <w:r w:rsidRPr="00294C51">
        <w:rPr>
          <w:b/>
          <w:bCs/>
        </w:rPr>
        <w:t xml:space="preserve"> 1: </w:t>
      </w:r>
      <w:proofErr w:type="spellStart"/>
      <w:r w:rsidRPr="00294C51">
        <w:rPr>
          <w:b/>
          <w:bCs/>
        </w:rPr>
        <w:t>Enkeltdoser</w:t>
      </w:r>
      <w:proofErr w:type="spellEnd"/>
      <w:r w:rsidRPr="00294C51">
        <w:rPr>
          <w:b/>
          <w:bCs/>
        </w:rPr>
        <w:t xml:space="preserve"> </w:t>
      </w:r>
      <w:proofErr w:type="spellStart"/>
      <w:r w:rsidRPr="00294C51">
        <w:rPr>
          <w:b/>
          <w:bCs/>
        </w:rPr>
        <w:t>og</w:t>
      </w:r>
      <w:proofErr w:type="spellEnd"/>
      <w:r w:rsidRPr="00294C51">
        <w:rPr>
          <w:b/>
          <w:bCs/>
        </w:rPr>
        <w:t xml:space="preserve"> </w:t>
      </w:r>
      <w:proofErr w:type="spellStart"/>
      <w:r w:rsidRPr="00294C51">
        <w:rPr>
          <w:b/>
          <w:bCs/>
        </w:rPr>
        <w:t>samlede</w:t>
      </w:r>
      <w:proofErr w:type="spellEnd"/>
      <w:r w:rsidRPr="00294C51">
        <w:rPr>
          <w:b/>
          <w:bCs/>
        </w:rPr>
        <w:t xml:space="preserve"> </w:t>
      </w:r>
      <w:proofErr w:type="spellStart"/>
      <w:r w:rsidRPr="00294C51">
        <w:rPr>
          <w:b/>
          <w:bCs/>
        </w:rPr>
        <w:t>daglige</w:t>
      </w:r>
      <w:proofErr w:type="spellEnd"/>
      <w:r w:rsidRPr="00294C51">
        <w:rPr>
          <w:b/>
          <w:bCs/>
        </w:rPr>
        <w:t xml:space="preserve"> </w:t>
      </w:r>
      <w:proofErr w:type="spellStart"/>
      <w:r w:rsidRPr="00294C51">
        <w:rPr>
          <w:b/>
          <w:bCs/>
        </w:rPr>
        <w:t>doser</w:t>
      </w:r>
      <w:proofErr w:type="spellEnd"/>
      <w:r w:rsidRPr="00294C51">
        <w:rPr>
          <w:b/>
          <w:bCs/>
        </w:rPr>
        <w:t xml:space="preserve"> i </w:t>
      </w:r>
      <w:proofErr w:type="spellStart"/>
      <w:r w:rsidRPr="00294C51">
        <w:rPr>
          <w:b/>
          <w:bCs/>
        </w:rPr>
        <w:t>milligram</w:t>
      </w:r>
      <w:proofErr w:type="spellEnd"/>
      <w:r w:rsidRPr="00294C51">
        <w:rPr>
          <w:b/>
          <w:bCs/>
        </w:rPr>
        <w:t xml:space="preserve"> (mg) </w:t>
      </w:r>
      <w:proofErr w:type="spellStart"/>
      <w:r w:rsidRPr="00294C51">
        <w:rPr>
          <w:b/>
          <w:bCs/>
        </w:rPr>
        <w:t>efter</w:t>
      </w:r>
      <w:proofErr w:type="spellEnd"/>
      <w:r w:rsidRPr="00294C51">
        <w:rPr>
          <w:b/>
          <w:bCs/>
        </w:rPr>
        <w:t xml:space="preserve"> </w:t>
      </w:r>
      <w:proofErr w:type="spellStart"/>
      <w:r w:rsidRPr="00294C51">
        <w:rPr>
          <w:b/>
          <w:bCs/>
        </w:rPr>
        <w:t>legemsvægt</w:t>
      </w:r>
      <w:proofErr w:type="spellEnd"/>
      <w:r w:rsidRPr="00294C51">
        <w:rPr>
          <w:b/>
          <w:bCs/>
        </w:rPr>
        <w:t xml:space="preserve"> i kg </w:t>
      </w:r>
      <w:proofErr w:type="spellStart"/>
      <w:r w:rsidRPr="00294C51">
        <w:rPr>
          <w:b/>
          <w:bCs/>
        </w:rPr>
        <w:t>og</w:t>
      </w:r>
      <w:proofErr w:type="spellEnd"/>
      <w:r w:rsidRPr="00294C51">
        <w:rPr>
          <w:b/>
          <w:bCs/>
        </w:rPr>
        <w:t xml:space="preserve"> </w:t>
      </w:r>
      <w:proofErr w:type="spellStart"/>
      <w:r w:rsidRPr="00294C51">
        <w:rPr>
          <w:b/>
          <w:bCs/>
        </w:rPr>
        <w:t>patientens</w:t>
      </w:r>
      <w:proofErr w:type="spellEnd"/>
      <w:r w:rsidRPr="00294C51">
        <w:rPr>
          <w:b/>
          <w:bCs/>
        </w:rPr>
        <w:t xml:space="preserve"> </w:t>
      </w:r>
      <w:proofErr w:type="spellStart"/>
      <w:r w:rsidRPr="00294C51">
        <w:rPr>
          <w:b/>
          <w:bCs/>
        </w:rPr>
        <w:t>alder</w:t>
      </w:r>
      <w:proofErr w:type="spellEnd"/>
      <w:r w:rsidRPr="00294C51">
        <w:rPr>
          <w:b/>
          <w:bCs/>
        </w:rPr>
        <w:t xml:space="preserve"> i </w:t>
      </w:r>
      <w:proofErr w:type="spellStart"/>
      <w:r w:rsidRPr="00294C51">
        <w:rPr>
          <w:b/>
          <w:bCs/>
        </w:rPr>
        <w:t>år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82603" w:rsidRPr="003C1655" w14:paraId="4940FED1" w14:textId="77777777" w:rsidTr="00900F65">
        <w:tc>
          <w:tcPr>
            <w:tcW w:w="4530" w:type="dxa"/>
            <w:gridSpan w:val="2"/>
          </w:tcPr>
          <w:p w14:paraId="25DBF4AD" w14:textId="4D44FB34" w:rsidR="00882603" w:rsidRPr="007164FF" w:rsidRDefault="00882603" w:rsidP="00376F80">
            <w:pPr>
              <w:rPr>
                <w:b/>
                <w:bCs/>
              </w:rPr>
            </w:pPr>
            <w:proofErr w:type="spellStart"/>
            <w:r w:rsidRPr="007164FF">
              <w:rPr>
                <w:b/>
                <w:bCs/>
              </w:rPr>
              <w:t>Kombinationer</w:t>
            </w:r>
            <w:proofErr w:type="spellEnd"/>
            <w:r w:rsidRPr="007164FF">
              <w:rPr>
                <w:b/>
                <w:bCs/>
              </w:rPr>
              <w:t xml:space="preserve"> </w:t>
            </w:r>
            <w:proofErr w:type="spellStart"/>
            <w:r w:rsidRPr="007164FF">
              <w:rPr>
                <w:b/>
                <w:bCs/>
              </w:rPr>
              <w:t>af</w:t>
            </w:r>
            <w:proofErr w:type="spellEnd"/>
            <w:r w:rsidRPr="007164FF">
              <w:rPr>
                <w:b/>
                <w:bCs/>
              </w:rPr>
              <w:t xml:space="preserve"> </w:t>
            </w:r>
            <w:proofErr w:type="spellStart"/>
            <w:r w:rsidRPr="007164FF">
              <w:rPr>
                <w:b/>
                <w:bCs/>
              </w:rPr>
              <w:t>kropsvægt</w:t>
            </w:r>
            <w:proofErr w:type="spellEnd"/>
            <w:r w:rsidRPr="007164FF">
              <w:rPr>
                <w:b/>
                <w:bCs/>
              </w:rPr>
              <w:t xml:space="preserve"> / </w:t>
            </w:r>
            <w:proofErr w:type="spellStart"/>
            <w:r w:rsidRPr="007164FF">
              <w:rPr>
                <w:b/>
                <w:bCs/>
              </w:rPr>
              <w:t>alder</w:t>
            </w:r>
            <w:proofErr w:type="spellEnd"/>
          </w:p>
        </w:tc>
        <w:tc>
          <w:tcPr>
            <w:tcW w:w="2266" w:type="dxa"/>
            <w:vMerge w:val="restart"/>
          </w:tcPr>
          <w:p w14:paraId="02465230" w14:textId="67CB95E0" w:rsidR="00882603" w:rsidRPr="007164FF" w:rsidRDefault="00882603" w:rsidP="00376F80">
            <w:pPr>
              <w:rPr>
                <w:b/>
                <w:bCs/>
              </w:rPr>
            </w:pPr>
            <w:proofErr w:type="spellStart"/>
            <w:r w:rsidRPr="007164FF">
              <w:rPr>
                <w:b/>
                <w:bCs/>
              </w:rPr>
              <w:t>Enkeltdosis</w:t>
            </w:r>
            <w:proofErr w:type="spellEnd"/>
            <w:r w:rsidRPr="007164FF">
              <w:rPr>
                <w:b/>
                <w:bCs/>
              </w:rPr>
              <w:t xml:space="preserve"> i mg</w:t>
            </w:r>
          </w:p>
        </w:tc>
        <w:tc>
          <w:tcPr>
            <w:tcW w:w="2266" w:type="dxa"/>
            <w:vMerge w:val="restart"/>
          </w:tcPr>
          <w:p w14:paraId="5ECBBDE6" w14:textId="18483FF6" w:rsidR="00882603" w:rsidRPr="009A11A6" w:rsidRDefault="00882603" w:rsidP="00376F80">
            <w:pPr>
              <w:rPr>
                <w:b/>
                <w:bCs/>
                <w:lang w:val="da-DK"/>
              </w:rPr>
            </w:pPr>
            <w:proofErr w:type="spellStart"/>
            <w:r w:rsidRPr="00677C6A">
              <w:rPr>
                <w:b/>
                <w:bCs/>
              </w:rPr>
              <w:t>Samlet</w:t>
            </w:r>
            <w:proofErr w:type="spellEnd"/>
            <w:r w:rsidRPr="00677C6A">
              <w:rPr>
                <w:b/>
                <w:bCs/>
              </w:rPr>
              <w:t xml:space="preserve"> </w:t>
            </w:r>
            <w:proofErr w:type="spellStart"/>
            <w:r w:rsidRPr="00677C6A">
              <w:rPr>
                <w:b/>
                <w:bCs/>
              </w:rPr>
              <w:t>daglig</w:t>
            </w:r>
            <w:proofErr w:type="spellEnd"/>
            <w:r w:rsidRPr="00677C6A">
              <w:rPr>
                <w:b/>
                <w:bCs/>
              </w:rPr>
              <w:t xml:space="preserve"> </w:t>
            </w:r>
            <w:proofErr w:type="spellStart"/>
            <w:r w:rsidRPr="00677C6A">
              <w:rPr>
                <w:b/>
                <w:bCs/>
              </w:rPr>
              <w:t>dosis</w:t>
            </w:r>
            <w:proofErr w:type="spellEnd"/>
            <w:r w:rsidRPr="00677C6A">
              <w:rPr>
                <w:b/>
                <w:bCs/>
              </w:rPr>
              <w:t xml:space="preserve"> i mg</w:t>
            </w:r>
          </w:p>
        </w:tc>
      </w:tr>
      <w:tr w:rsidR="00882603" w14:paraId="5E7FA245" w14:textId="77777777" w:rsidTr="00882603">
        <w:tc>
          <w:tcPr>
            <w:tcW w:w="2265" w:type="dxa"/>
          </w:tcPr>
          <w:p w14:paraId="5D7C75BC" w14:textId="00B94673" w:rsidR="00882603" w:rsidRPr="007164FF" w:rsidRDefault="00882603" w:rsidP="00376F80">
            <w:pPr>
              <w:rPr>
                <w:b/>
                <w:bCs/>
              </w:rPr>
            </w:pPr>
            <w:proofErr w:type="spellStart"/>
            <w:r w:rsidRPr="007164FF">
              <w:rPr>
                <w:b/>
                <w:bCs/>
              </w:rPr>
              <w:t>Kropsvægt</w:t>
            </w:r>
            <w:proofErr w:type="spellEnd"/>
            <w:r w:rsidRPr="007164FF">
              <w:rPr>
                <w:b/>
                <w:bCs/>
              </w:rPr>
              <w:t xml:space="preserve"> i kg</w:t>
            </w:r>
          </w:p>
        </w:tc>
        <w:tc>
          <w:tcPr>
            <w:tcW w:w="2265" w:type="dxa"/>
          </w:tcPr>
          <w:p w14:paraId="0ABD9706" w14:textId="5D87DCBF" w:rsidR="00882603" w:rsidRPr="007164FF" w:rsidRDefault="00882603" w:rsidP="00376F80">
            <w:pPr>
              <w:rPr>
                <w:b/>
                <w:bCs/>
              </w:rPr>
            </w:pPr>
            <w:r w:rsidRPr="007164FF">
              <w:rPr>
                <w:b/>
                <w:bCs/>
              </w:rPr>
              <w:t xml:space="preserve">Alder i </w:t>
            </w:r>
            <w:proofErr w:type="spellStart"/>
            <w:r w:rsidRPr="007164FF">
              <w:rPr>
                <w:b/>
                <w:bCs/>
              </w:rPr>
              <w:t>år</w:t>
            </w:r>
            <w:proofErr w:type="spellEnd"/>
          </w:p>
        </w:tc>
        <w:tc>
          <w:tcPr>
            <w:tcW w:w="2266" w:type="dxa"/>
            <w:vMerge/>
          </w:tcPr>
          <w:p w14:paraId="26577FF9" w14:textId="77777777" w:rsidR="00882603" w:rsidRDefault="00882603" w:rsidP="00376F80"/>
        </w:tc>
        <w:tc>
          <w:tcPr>
            <w:tcW w:w="2266" w:type="dxa"/>
            <w:vMerge/>
          </w:tcPr>
          <w:p w14:paraId="05D52F2E" w14:textId="77777777" w:rsidR="00882603" w:rsidRDefault="00882603" w:rsidP="00376F80"/>
        </w:tc>
      </w:tr>
      <w:tr w:rsidR="007164FF" w14:paraId="7E5B9692" w14:textId="77777777" w:rsidTr="00882603">
        <w:tc>
          <w:tcPr>
            <w:tcW w:w="2265" w:type="dxa"/>
          </w:tcPr>
          <w:p w14:paraId="6181117F" w14:textId="703EFD18" w:rsidR="007164FF" w:rsidRDefault="007164FF" w:rsidP="007164FF">
            <w:r w:rsidRPr="00605C7B">
              <w:t xml:space="preserve">11 </w:t>
            </w:r>
            <w:proofErr w:type="spellStart"/>
            <w:r w:rsidRPr="00605C7B">
              <w:t>til</w:t>
            </w:r>
            <w:proofErr w:type="spellEnd"/>
            <w:r w:rsidRPr="00605C7B">
              <w:t xml:space="preserve"> &lt; 13</w:t>
            </w:r>
          </w:p>
        </w:tc>
        <w:tc>
          <w:tcPr>
            <w:tcW w:w="2265" w:type="dxa"/>
          </w:tcPr>
          <w:p w14:paraId="2F892C93" w14:textId="3B807B8E" w:rsidR="007164FF" w:rsidRDefault="007164FF" w:rsidP="007164FF">
            <w:r w:rsidRPr="00605C7B">
              <w:t xml:space="preserve">8 </w:t>
            </w:r>
            <w:proofErr w:type="spellStart"/>
            <w:r w:rsidRPr="00605C7B">
              <w:t>til</w:t>
            </w:r>
            <w:proofErr w:type="spellEnd"/>
            <w:r w:rsidRPr="00605C7B">
              <w:t xml:space="preserve"> &lt; 9</w:t>
            </w:r>
          </w:p>
        </w:tc>
        <w:tc>
          <w:tcPr>
            <w:tcW w:w="2266" w:type="dxa"/>
          </w:tcPr>
          <w:p w14:paraId="3C7FCB69" w14:textId="4B10C5C9" w:rsidR="007164FF" w:rsidRDefault="007164FF" w:rsidP="007164FF">
            <w:r w:rsidRPr="00605C7B">
              <w:t>75</w:t>
            </w:r>
          </w:p>
        </w:tc>
        <w:tc>
          <w:tcPr>
            <w:tcW w:w="2266" w:type="dxa"/>
          </w:tcPr>
          <w:p w14:paraId="0DAB43FA" w14:textId="5D8089A2" w:rsidR="007164FF" w:rsidRDefault="007164FF" w:rsidP="007164FF">
            <w:r w:rsidRPr="00605C7B">
              <w:t>150</w:t>
            </w:r>
          </w:p>
        </w:tc>
      </w:tr>
      <w:tr w:rsidR="007164FF" w14:paraId="10B95234" w14:textId="77777777" w:rsidTr="00882603">
        <w:tc>
          <w:tcPr>
            <w:tcW w:w="2265" w:type="dxa"/>
          </w:tcPr>
          <w:p w14:paraId="1AAC6D8E" w14:textId="30060B5D" w:rsidR="007164FF" w:rsidRDefault="007164FF" w:rsidP="007164FF">
            <w:r w:rsidRPr="001617F6">
              <w:t xml:space="preserve">13 </w:t>
            </w:r>
            <w:proofErr w:type="spellStart"/>
            <w:r w:rsidRPr="001617F6">
              <w:t>til</w:t>
            </w:r>
            <w:proofErr w:type="spellEnd"/>
            <w:r w:rsidRPr="001617F6">
              <w:t xml:space="preserve"> &lt; 16</w:t>
            </w:r>
          </w:p>
        </w:tc>
        <w:tc>
          <w:tcPr>
            <w:tcW w:w="2265" w:type="dxa"/>
          </w:tcPr>
          <w:p w14:paraId="63F3A6A4" w14:textId="72EEC5ED" w:rsidR="007164FF" w:rsidRDefault="007164FF" w:rsidP="007164FF">
            <w:r w:rsidRPr="001617F6">
              <w:t xml:space="preserve">8 </w:t>
            </w:r>
            <w:proofErr w:type="spellStart"/>
            <w:r w:rsidRPr="001617F6">
              <w:t>til</w:t>
            </w:r>
            <w:proofErr w:type="spellEnd"/>
            <w:r w:rsidRPr="001617F6">
              <w:t xml:space="preserve"> &lt; 11</w:t>
            </w:r>
          </w:p>
        </w:tc>
        <w:tc>
          <w:tcPr>
            <w:tcW w:w="2266" w:type="dxa"/>
          </w:tcPr>
          <w:p w14:paraId="154CDB6A" w14:textId="4D2BF874" w:rsidR="007164FF" w:rsidRDefault="007164FF" w:rsidP="007164FF">
            <w:r w:rsidRPr="001617F6">
              <w:t>110</w:t>
            </w:r>
          </w:p>
        </w:tc>
        <w:tc>
          <w:tcPr>
            <w:tcW w:w="2266" w:type="dxa"/>
          </w:tcPr>
          <w:p w14:paraId="408A3252" w14:textId="2AE74E96" w:rsidR="007164FF" w:rsidRDefault="007164FF" w:rsidP="007164FF">
            <w:r w:rsidRPr="001617F6">
              <w:t>220</w:t>
            </w:r>
          </w:p>
        </w:tc>
      </w:tr>
      <w:tr w:rsidR="007164FF" w14:paraId="52B70059" w14:textId="77777777" w:rsidTr="00882603">
        <w:tc>
          <w:tcPr>
            <w:tcW w:w="2265" w:type="dxa"/>
          </w:tcPr>
          <w:p w14:paraId="30934346" w14:textId="69D4EA75" w:rsidR="007164FF" w:rsidRDefault="007164FF" w:rsidP="007164FF">
            <w:r w:rsidRPr="00E2184A">
              <w:t xml:space="preserve">16 </w:t>
            </w:r>
            <w:proofErr w:type="spellStart"/>
            <w:r w:rsidRPr="00E2184A">
              <w:t>til</w:t>
            </w:r>
            <w:proofErr w:type="spellEnd"/>
            <w:r w:rsidRPr="00E2184A">
              <w:t xml:space="preserve"> &lt; 21</w:t>
            </w:r>
          </w:p>
        </w:tc>
        <w:tc>
          <w:tcPr>
            <w:tcW w:w="2265" w:type="dxa"/>
          </w:tcPr>
          <w:p w14:paraId="1C88989E" w14:textId="28337F78" w:rsidR="007164FF" w:rsidRDefault="007164FF" w:rsidP="007164FF">
            <w:r w:rsidRPr="00E2184A">
              <w:t xml:space="preserve">8 </w:t>
            </w:r>
            <w:proofErr w:type="spellStart"/>
            <w:r w:rsidRPr="00E2184A">
              <w:t>til</w:t>
            </w:r>
            <w:proofErr w:type="spellEnd"/>
            <w:r w:rsidRPr="00E2184A">
              <w:t xml:space="preserve"> &lt; 14</w:t>
            </w:r>
          </w:p>
        </w:tc>
        <w:tc>
          <w:tcPr>
            <w:tcW w:w="2266" w:type="dxa"/>
          </w:tcPr>
          <w:p w14:paraId="3F53A41D" w14:textId="5AADE6D3" w:rsidR="007164FF" w:rsidRDefault="007164FF" w:rsidP="007164FF">
            <w:r w:rsidRPr="00E2184A">
              <w:t>110</w:t>
            </w:r>
          </w:p>
        </w:tc>
        <w:tc>
          <w:tcPr>
            <w:tcW w:w="2266" w:type="dxa"/>
          </w:tcPr>
          <w:p w14:paraId="06CBC7A7" w14:textId="5C7D0A63" w:rsidR="007164FF" w:rsidRDefault="007164FF" w:rsidP="007164FF">
            <w:r w:rsidRPr="00E2184A">
              <w:t>220</w:t>
            </w:r>
          </w:p>
        </w:tc>
      </w:tr>
      <w:tr w:rsidR="007164FF" w14:paraId="23282A40" w14:textId="77777777" w:rsidTr="00882603">
        <w:tc>
          <w:tcPr>
            <w:tcW w:w="2265" w:type="dxa"/>
          </w:tcPr>
          <w:p w14:paraId="51953664" w14:textId="47563846" w:rsidR="007164FF" w:rsidRDefault="007164FF" w:rsidP="007164FF">
            <w:r w:rsidRPr="00B73725">
              <w:t xml:space="preserve">21 </w:t>
            </w:r>
            <w:proofErr w:type="spellStart"/>
            <w:r w:rsidRPr="00B73725">
              <w:t>til</w:t>
            </w:r>
            <w:proofErr w:type="spellEnd"/>
            <w:r w:rsidRPr="00B73725">
              <w:t xml:space="preserve"> &lt; 26</w:t>
            </w:r>
          </w:p>
        </w:tc>
        <w:tc>
          <w:tcPr>
            <w:tcW w:w="2265" w:type="dxa"/>
          </w:tcPr>
          <w:p w14:paraId="64546EEC" w14:textId="51B9C020" w:rsidR="007164FF" w:rsidRDefault="007164FF" w:rsidP="007164FF">
            <w:r w:rsidRPr="00B73725">
              <w:t xml:space="preserve">8 </w:t>
            </w:r>
            <w:proofErr w:type="spellStart"/>
            <w:r w:rsidRPr="00B73725">
              <w:t>til</w:t>
            </w:r>
            <w:proofErr w:type="spellEnd"/>
            <w:r w:rsidRPr="00B73725">
              <w:t xml:space="preserve"> &lt; 16</w:t>
            </w:r>
          </w:p>
        </w:tc>
        <w:tc>
          <w:tcPr>
            <w:tcW w:w="2266" w:type="dxa"/>
          </w:tcPr>
          <w:p w14:paraId="16303059" w14:textId="5E0C7EA3" w:rsidR="007164FF" w:rsidRDefault="007164FF" w:rsidP="007164FF">
            <w:r w:rsidRPr="00B73725">
              <w:t>150</w:t>
            </w:r>
          </w:p>
        </w:tc>
        <w:tc>
          <w:tcPr>
            <w:tcW w:w="2266" w:type="dxa"/>
          </w:tcPr>
          <w:p w14:paraId="51BB8D4A" w14:textId="20632C73" w:rsidR="007164FF" w:rsidRDefault="007164FF" w:rsidP="007164FF">
            <w:r w:rsidRPr="00B73725">
              <w:t>300</w:t>
            </w:r>
          </w:p>
        </w:tc>
      </w:tr>
      <w:tr w:rsidR="007164FF" w14:paraId="37B8459F" w14:textId="77777777" w:rsidTr="00882603">
        <w:tc>
          <w:tcPr>
            <w:tcW w:w="2265" w:type="dxa"/>
          </w:tcPr>
          <w:p w14:paraId="56E98EF9" w14:textId="374F5F4B" w:rsidR="007164FF" w:rsidRDefault="007164FF" w:rsidP="007164FF">
            <w:r w:rsidRPr="00165DF5">
              <w:t xml:space="preserve">26 </w:t>
            </w:r>
            <w:proofErr w:type="spellStart"/>
            <w:r w:rsidRPr="00165DF5">
              <w:t>til</w:t>
            </w:r>
            <w:proofErr w:type="spellEnd"/>
            <w:r w:rsidRPr="00165DF5">
              <w:t xml:space="preserve"> &lt; 31</w:t>
            </w:r>
          </w:p>
        </w:tc>
        <w:tc>
          <w:tcPr>
            <w:tcW w:w="2265" w:type="dxa"/>
          </w:tcPr>
          <w:p w14:paraId="591EC95C" w14:textId="7B079EF4" w:rsidR="007164FF" w:rsidRDefault="007164FF" w:rsidP="007164FF">
            <w:r w:rsidRPr="00165DF5">
              <w:t xml:space="preserve">8 </w:t>
            </w:r>
            <w:proofErr w:type="spellStart"/>
            <w:r w:rsidRPr="00165DF5">
              <w:t>til</w:t>
            </w:r>
            <w:proofErr w:type="spellEnd"/>
            <w:r w:rsidRPr="00165DF5">
              <w:t xml:space="preserve"> &lt; 18</w:t>
            </w:r>
          </w:p>
        </w:tc>
        <w:tc>
          <w:tcPr>
            <w:tcW w:w="2266" w:type="dxa"/>
          </w:tcPr>
          <w:p w14:paraId="0D1FC5A3" w14:textId="6E69E741" w:rsidR="007164FF" w:rsidRDefault="007164FF" w:rsidP="007164FF">
            <w:r w:rsidRPr="00165DF5">
              <w:t>150</w:t>
            </w:r>
          </w:p>
        </w:tc>
        <w:tc>
          <w:tcPr>
            <w:tcW w:w="2266" w:type="dxa"/>
          </w:tcPr>
          <w:p w14:paraId="16EDB152" w14:textId="6FD9A91D" w:rsidR="007164FF" w:rsidRDefault="007164FF" w:rsidP="007164FF">
            <w:r w:rsidRPr="00165DF5">
              <w:t>300</w:t>
            </w:r>
          </w:p>
        </w:tc>
      </w:tr>
      <w:tr w:rsidR="007164FF" w14:paraId="7EF671C2" w14:textId="77777777" w:rsidTr="00882603">
        <w:tc>
          <w:tcPr>
            <w:tcW w:w="2265" w:type="dxa"/>
          </w:tcPr>
          <w:p w14:paraId="3353AC65" w14:textId="543ECF52" w:rsidR="007164FF" w:rsidRDefault="007164FF" w:rsidP="007164FF">
            <w:r w:rsidRPr="00A41D98">
              <w:t xml:space="preserve">31 </w:t>
            </w:r>
            <w:proofErr w:type="spellStart"/>
            <w:r w:rsidRPr="00A41D98">
              <w:t>til</w:t>
            </w:r>
            <w:proofErr w:type="spellEnd"/>
            <w:r w:rsidRPr="00A41D98">
              <w:t xml:space="preserve"> &lt; 41</w:t>
            </w:r>
          </w:p>
        </w:tc>
        <w:tc>
          <w:tcPr>
            <w:tcW w:w="2265" w:type="dxa"/>
          </w:tcPr>
          <w:p w14:paraId="2C096B0B" w14:textId="08A45CDA" w:rsidR="007164FF" w:rsidRDefault="007164FF" w:rsidP="007164FF">
            <w:r w:rsidRPr="00A41D98">
              <w:t xml:space="preserve">8 </w:t>
            </w:r>
            <w:proofErr w:type="spellStart"/>
            <w:r w:rsidRPr="00A41D98">
              <w:t>til</w:t>
            </w:r>
            <w:proofErr w:type="spellEnd"/>
            <w:r w:rsidRPr="00A41D98">
              <w:t xml:space="preserve"> &lt; 18</w:t>
            </w:r>
          </w:p>
        </w:tc>
        <w:tc>
          <w:tcPr>
            <w:tcW w:w="2266" w:type="dxa"/>
          </w:tcPr>
          <w:p w14:paraId="005C625C" w14:textId="248AC56E" w:rsidR="007164FF" w:rsidRDefault="007164FF" w:rsidP="007164FF">
            <w:r w:rsidRPr="00A41D98">
              <w:t>185</w:t>
            </w:r>
          </w:p>
        </w:tc>
        <w:tc>
          <w:tcPr>
            <w:tcW w:w="2266" w:type="dxa"/>
          </w:tcPr>
          <w:p w14:paraId="73362355" w14:textId="7AC4C335" w:rsidR="007164FF" w:rsidRDefault="007164FF" w:rsidP="007164FF">
            <w:r w:rsidRPr="00A41D98">
              <w:t>370</w:t>
            </w:r>
          </w:p>
        </w:tc>
      </w:tr>
      <w:tr w:rsidR="007164FF" w14:paraId="04326EEA" w14:textId="77777777" w:rsidTr="00882603">
        <w:tc>
          <w:tcPr>
            <w:tcW w:w="2265" w:type="dxa"/>
          </w:tcPr>
          <w:p w14:paraId="19FE0713" w14:textId="220CBD1A" w:rsidR="007164FF" w:rsidRPr="00A41D98" w:rsidRDefault="007164FF" w:rsidP="007164FF">
            <w:r w:rsidRPr="00F00AF4">
              <w:t xml:space="preserve">41 </w:t>
            </w:r>
            <w:proofErr w:type="spellStart"/>
            <w:r w:rsidRPr="00F00AF4">
              <w:t>til</w:t>
            </w:r>
            <w:proofErr w:type="spellEnd"/>
            <w:r w:rsidRPr="00F00AF4">
              <w:t xml:space="preserve"> &lt; 51</w:t>
            </w:r>
          </w:p>
        </w:tc>
        <w:tc>
          <w:tcPr>
            <w:tcW w:w="2265" w:type="dxa"/>
          </w:tcPr>
          <w:p w14:paraId="41622B76" w14:textId="5DBF6151" w:rsidR="007164FF" w:rsidRPr="00A41D98" w:rsidRDefault="007164FF" w:rsidP="007164FF">
            <w:r w:rsidRPr="00F00AF4">
              <w:t xml:space="preserve">8 </w:t>
            </w:r>
            <w:proofErr w:type="spellStart"/>
            <w:r w:rsidRPr="00F00AF4">
              <w:t>til</w:t>
            </w:r>
            <w:proofErr w:type="spellEnd"/>
            <w:r w:rsidRPr="00F00AF4">
              <w:t xml:space="preserve"> &lt; 18</w:t>
            </w:r>
          </w:p>
        </w:tc>
        <w:tc>
          <w:tcPr>
            <w:tcW w:w="2266" w:type="dxa"/>
          </w:tcPr>
          <w:p w14:paraId="6E2A1340" w14:textId="12053639" w:rsidR="007164FF" w:rsidRPr="00A41D98" w:rsidRDefault="007164FF" w:rsidP="007164FF">
            <w:r w:rsidRPr="00F00AF4">
              <w:t>220</w:t>
            </w:r>
          </w:p>
        </w:tc>
        <w:tc>
          <w:tcPr>
            <w:tcW w:w="2266" w:type="dxa"/>
          </w:tcPr>
          <w:p w14:paraId="5F315FBB" w14:textId="6CFDDB5B" w:rsidR="007164FF" w:rsidRPr="00A41D98" w:rsidRDefault="007164FF" w:rsidP="007164FF">
            <w:r w:rsidRPr="00F00AF4">
              <w:t>440</w:t>
            </w:r>
          </w:p>
        </w:tc>
      </w:tr>
      <w:tr w:rsidR="007164FF" w14:paraId="2DBDF9BA" w14:textId="77777777" w:rsidTr="00882603">
        <w:tc>
          <w:tcPr>
            <w:tcW w:w="2265" w:type="dxa"/>
          </w:tcPr>
          <w:p w14:paraId="79D52526" w14:textId="48C8BE80" w:rsidR="007164FF" w:rsidRPr="00A41D98" w:rsidRDefault="007164FF" w:rsidP="007164FF">
            <w:r w:rsidRPr="00743322">
              <w:t xml:space="preserve">51 </w:t>
            </w:r>
            <w:proofErr w:type="spellStart"/>
            <w:r w:rsidRPr="00743322">
              <w:t>til</w:t>
            </w:r>
            <w:proofErr w:type="spellEnd"/>
            <w:r w:rsidRPr="00743322">
              <w:t xml:space="preserve"> &lt; 61</w:t>
            </w:r>
          </w:p>
        </w:tc>
        <w:tc>
          <w:tcPr>
            <w:tcW w:w="2265" w:type="dxa"/>
          </w:tcPr>
          <w:p w14:paraId="00FF269C" w14:textId="58411648" w:rsidR="007164FF" w:rsidRPr="00A41D98" w:rsidRDefault="007164FF" w:rsidP="007164FF">
            <w:r w:rsidRPr="00743322">
              <w:t xml:space="preserve">8 </w:t>
            </w:r>
            <w:proofErr w:type="spellStart"/>
            <w:r w:rsidRPr="00743322">
              <w:t>til</w:t>
            </w:r>
            <w:proofErr w:type="spellEnd"/>
            <w:r w:rsidRPr="00743322">
              <w:t xml:space="preserve"> &lt; 18</w:t>
            </w:r>
          </w:p>
        </w:tc>
        <w:tc>
          <w:tcPr>
            <w:tcW w:w="2266" w:type="dxa"/>
          </w:tcPr>
          <w:p w14:paraId="5778CF44" w14:textId="5400A391" w:rsidR="007164FF" w:rsidRPr="00A41D98" w:rsidRDefault="007164FF" w:rsidP="007164FF">
            <w:r w:rsidRPr="00743322">
              <w:t>260</w:t>
            </w:r>
          </w:p>
        </w:tc>
        <w:tc>
          <w:tcPr>
            <w:tcW w:w="2266" w:type="dxa"/>
          </w:tcPr>
          <w:p w14:paraId="50B43E11" w14:textId="378FE298" w:rsidR="007164FF" w:rsidRPr="00A41D98" w:rsidRDefault="007164FF" w:rsidP="007164FF">
            <w:r w:rsidRPr="00743322">
              <w:t>520</w:t>
            </w:r>
          </w:p>
        </w:tc>
      </w:tr>
      <w:tr w:rsidR="007164FF" w14:paraId="7C1F5CF7" w14:textId="77777777" w:rsidTr="00882603">
        <w:tc>
          <w:tcPr>
            <w:tcW w:w="2265" w:type="dxa"/>
          </w:tcPr>
          <w:p w14:paraId="5F571875" w14:textId="426BFEB2" w:rsidR="007164FF" w:rsidRPr="00A41D98" w:rsidRDefault="007164FF" w:rsidP="007164FF">
            <w:r w:rsidRPr="00F549FE">
              <w:t xml:space="preserve">61 </w:t>
            </w:r>
            <w:proofErr w:type="spellStart"/>
            <w:r w:rsidRPr="00F549FE">
              <w:t>til</w:t>
            </w:r>
            <w:proofErr w:type="spellEnd"/>
            <w:r w:rsidRPr="00F549FE">
              <w:t xml:space="preserve"> &lt; 71</w:t>
            </w:r>
          </w:p>
        </w:tc>
        <w:tc>
          <w:tcPr>
            <w:tcW w:w="2265" w:type="dxa"/>
          </w:tcPr>
          <w:p w14:paraId="2B521ACC" w14:textId="4416DB30" w:rsidR="007164FF" w:rsidRPr="00A41D98" w:rsidRDefault="007164FF" w:rsidP="007164FF">
            <w:r w:rsidRPr="00F549FE">
              <w:t xml:space="preserve">8 </w:t>
            </w:r>
            <w:proofErr w:type="spellStart"/>
            <w:r w:rsidRPr="00F549FE">
              <w:t>til</w:t>
            </w:r>
            <w:proofErr w:type="spellEnd"/>
            <w:r w:rsidRPr="00F549FE">
              <w:t xml:space="preserve"> &lt; 18</w:t>
            </w:r>
          </w:p>
        </w:tc>
        <w:tc>
          <w:tcPr>
            <w:tcW w:w="2266" w:type="dxa"/>
          </w:tcPr>
          <w:p w14:paraId="07DAC9DF" w14:textId="3BE3A930" w:rsidR="007164FF" w:rsidRPr="00A41D98" w:rsidRDefault="007164FF" w:rsidP="007164FF">
            <w:r w:rsidRPr="00F549FE">
              <w:t>300</w:t>
            </w:r>
          </w:p>
        </w:tc>
        <w:tc>
          <w:tcPr>
            <w:tcW w:w="2266" w:type="dxa"/>
          </w:tcPr>
          <w:p w14:paraId="6F7F279B" w14:textId="27DE6DBB" w:rsidR="007164FF" w:rsidRPr="00A41D98" w:rsidRDefault="007164FF" w:rsidP="007164FF">
            <w:r w:rsidRPr="00F549FE">
              <w:t>600</w:t>
            </w:r>
          </w:p>
        </w:tc>
      </w:tr>
      <w:tr w:rsidR="007164FF" w14:paraId="0325322B" w14:textId="77777777" w:rsidTr="00882603">
        <w:tc>
          <w:tcPr>
            <w:tcW w:w="2265" w:type="dxa"/>
          </w:tcPr>
          <w:p w14:paraId="63667F85" w14:textId="23171359" w:rsidR="007164FF" w:rsidRPr="00A41D98" w:rsidRDefault="007164FF" w:rsidP="007164FF">
            <w:r w:rsidRPr="0099609C">
              <w:t xml:space="preserve">71 </w:t>
            </w:r>
            <w:proofErr w:type="spellStart"/>
            <w:r w:rsidRPr="0099609C">
              <w:t>til</w:t>
            </w:r>
            <w:proofErr w:type="spellEnd"/>
            <w:r w:rsidRPr="0099609C">
              <w:t xml:space="preserve"> &lt; 81</w:t>
            </w:r>
          </w:p>
        </w:tc>
        <w:tc>
          <w:tcPr>
            <w:tcW w:w="2265" w:type="dxa"/>
          </w:tcPr>
          <w:p w14:paraId="6E36EAB4" w14:textId="474DFD8C" w:rsidR="007164FF" w:rsidRPr="00A41D98" w:rsidRDefault="007164FF" w:rsidP="007164FF">
            <w:r w:rsidRPr="0099609C">
              <w:t xml:space="preserve">8 </w:t>
            </w:r>
            <w:proofErr w:type="spellStart"/>
            <w:r w:rsidRPr="0099609C">
              <w:t>til</w:t>
            </w:r>
            <w:proofErr w:type="spellEnd"/>
            <w:r w:rsidRPr="0099609C">
              <w:t xml:space="preserve"> &lt; 18</w:t>
            </w:r>
          </w:p>
        </w:tc>
        <w:tc>
          <w:tcPr>
            <w:tcW w:w="2266" w:type="dxa"/>
          </w:tcPr>
          <w:p w14:paraId="4BD6EFFB" w14:textId="1604B0E3" w:rsidR="007164FF" w:rsidRPr="00A41D98" w:rsidRDefault="007164FF" w:rsidP="007164FF">
            <w:r w:rsidRPr="0099609C">
              <w:t>300</w:t>
            </w:r>
          </w:p>
        </w:tc>
        <w:tc>
          <w:tcPr>
            <w:tcW w:w="2266" w:type="dxa"/>
          </w:tcPr>
          <w:p w14:paraId="0FC13BF0" w14:textId="4D02C3D0" w:rsidR="007164FF" w:rsidRPr="00A41D98" w:rsidRDefault="007164FF" w:rsidP="007164FF">
            <w:r w:rsidRPr="0099609C">
              <w:t>600</w:t>
            </w:r>
          </w:p>
        </w:tc>
      </w:tr>
      <w:tr w:rsidR="007164FF" w14:paraId="59EB6BA3" w14:textId="77777777" w:rsidTr="00882603">
        <w:tc>
          <w:tcPr>
            <w:tcW w:w="2265" w:type="dxa"/>
          </w:tcPr>
          <w:p w14:paraId="5A2A023A" w14:textId="12985346" w:rsidR="007164FF" w:rsidRPr="00A41D98" w:rsidRDefault="007164FF" w:rsidP="007164FF">
            <w:r w:rsidRPr="008A7136">
              <w:t>&gt; 81</w:t>
            </w:r>
          </w:p>
        </w:tc>
        <w:tc>
          <w:tcPr>
            <w:tcW w:w="2265" w:type="dxa"/>
          </w:tcPr>
          <w:p w14:paraId="18A44A9B" w14:textId="78BF7101" w:rsidR="007164FF" w:rsidRPr="00A41D98" w:rsidRDefault="007164FF" w:rsidP="007164FF">
            <w:r w:rsidRPr="008A7136">
              <w:t xml:space="preserve">10 </w:t>
            </w:r>
            <w:proofErr w:type="spellStart"/>
            <w:r w:rsidRPr="008A7136">
              <w:t>til</w:t>
            </w:r>
            <w:proofErr w:type="spellEnd"/>
            <w:r w:rsidRPr="008A7136">
              <w:t xml:space="preserve"> &lt; 18</w:t>
            </w:r>
          </w:p>
        </w:tc>
        <w:tc>
          <w:tcPr>
            <w:tcW w:w="2266" w:type="dxa"/>
          </w:tcPr>
          <w:p w14:paraId="71CEE67C" w14:textId="635F25A1" w:rsidR="007164FF" w:rsidRPr="00A41D98" w:rsidRDefault="007164FF" w:rsidP="007164FF">
            <w:r w:rsidRPr="008A7136">
              <w:t>300</w:t>
            </w:r>
          </w:p>
        </w:tc>
        <w:tc>
          <w:tcPr>
            <w:tcW w:w="2266" w:type="dxa"/>
          </w:tcPr>
          <w:p w14:paraId="296D1C82" w14:textId="54336B7A" w:rsidR="007164FF" w:rsidRPr="00A41D98" w:rsidRDefault="007164FF" w:rsidP="007164FF">
            <w:r w:rsidRPr="008A7136">
              <w:t>600</w:t>
            </w:r>
          </w:p>
        </w:tc>
      </w:tr>
    </w:tbl>
    <w:p w14:paraId="609AE4A7" w14:textId="77777777" w:rsidR="00882603" w:rsidRDefault="00882603" w:rsidP="00376F80"/>
    <w:p w14:paraId="65AF647B" w14:textId="77777777" w:rsidR="007164FF" w:rsidRPr="002C047A" w:rsidRDefault="007164FF" w:rsidP="007164FF">
      <w:pPr>
        <w:rPr>
          <w:lang w:val="da-DK"/>
        </w:rPr>
      </w:pPr>
      <w:proofErr w:type="spellStart"/>
      <w:r w:rsidRPr="00677C6A">
        <w:t>Enkeltdoser</w:t>
      </w:r>
      <w:proofErr w:type="spellEnd"/>
      <w:r w:rsidRPr="00677C6A">
        <w:t xml:space="preserve">, der </w:t>
      </w:r>
      <w:proofErr w:type="spellStart"/>
      <w:r w:rsidRPr="00677C6A">
        <w:t>kræver</w:t>
      </w:r>
      <w:proofErr w:type="spellEnd"/>
      <w:r w:rsidRPr="00677C6A">
        <w:t xml:space="preserve"> en </w:t>
      </w:r>
      <w:proofErr w:type="spellStart"/>
      <w:r w:rsidRPr="00677C6A">
        <w:t>kombination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mere</w:t>
      </w:r>
      <w:proofErr w:type="spellEnd"/>
      <w:r w:rsidRPr="00677C6A">
        <w:t xml:space="preserve"> end </w:t>
      </w:r>
      <w:proofErr w:type="spellStart"/>
      <w:r w:rsidRPr="00677C6A">
        <w:t>én</w:t>
      </w:r>
      <w:proofErr w:type="spellEnd"/>
      <w:r w:rsidRPr="00677C6A">
        <w:t xml:space="preserve"> </w:t>
      </w:r>
      <w:proofErr w:type="spellStart"/>
      <w:r w:rsidRPr="00677C6A">
        <w:t>kapsel</w:t>
      </w:r>
      <w:proofErr w:type="spellEnd"/>
      <w:r w:rsidRPr="00677C6A">
        <w:t>:</w:t>
      </w:r>
    </w:p>
    <w:p w14:paraId="14AEBBEC" w14:textId="77777777" w:rsidR="007164FF" w:rsidRPr="002C047A" w:rsidRDefault="007164FF" w:rsidP="007164FF">
      <w:pPr>
        <w:rPr>
          <w:lang w:val="da-DK"/>
        </w:rPr>
      </w:pPr>
      <w:r w:rsidRPr="00677C6A">
        <w:t xml:space="preserve">300 mg: </w:t>
      </w:r>
      <w:proofErr w:type="spellStart"/>
      <w:r w:rsidRPr="00677C6A">
        <w:t>to</w:t>
      </w:r>
      <w:proofErr w:type="spellEnd"/>
      <w:r w:rsidRPr="00677C6A">
        <w:t xml:space="preserve"> 150 mg </w:t>
      </w:r>
      <w:proofErr w:type="spellStart"/>
      <w:r w:rsidRPr="00677C6A">
        <w:t>kapsler</w:t>
      </w:r>
      <w:proofErr w:type="spellEnd"/>
      <w:r w:rsidRPr="00677C6A">
        <w:t xml:space="preserve"> </w:t>
      </w:r>
      <w:proofErr w:type="spellStart"/>
      <w:r w:rsidRPr="00677C6A">
        <w:t>eller</w:t>
      </w:r>
      <w:proofErr w:type="spellEnd"/>
      <w:r w:rsidRPr="00677C6A">
        <w:t xml:space="preserve"> </w:t>
      </w:r>
      <w:proofErr w:type="spellStart"/>
      <w:r w:rsidRPr="00677C6A">
        <w:t>fire</w:t>
      </w:r>
      <w:proofErr w:type="spellEnd"/>
      <w:r w:rsidRPr="00677C6A">
        <w:t xml:space="preserve"> 75 mg </w:t>
      </w:r>
      <w:proofErr w:type="spellStart"/>
      <w:r w:rsidRPr="00677C6A">
        <w:t>kapsler</w:t>
      </w:r>
      <w:proofErr w:type="spellEnd"/>
    </w:p>
    <w:p w14:paraId="0E6BFC2B" w14:textId="77777777" w:rsidR="007164FF" w:rsidRPr="002C047A" w:rsidRDefault="007164FF" w:rsidP="007164FF">
      <w:pPr>
        <w:rPr>
          <w:lang w:val="da-DK"/>
        </w:rPr>
      </w:pPr>
      <w:r w:rsidRPr="00677C6A">
        <w:t xml:space="preserve">260 mg: en 110 mg </w:t>
      </w:r>
      <w:proofErr w:type="spellStart"/>
      <w:r w:rsidRPr="00677C6A">
        <w:t>og</w:t>
      </w:r>
      <w:proofErr w:type="spellEnd"/>
      <w:r w:rsidRPr="00677C6A">
        <w:t xml:space="preserve"> en 150 mg </w:t>
      </w:r>
      <w:proofErr w:type="spellStart"/>
      <w:r w:rsidRPr="00677C6A">
        <w:t>kapsel</w:t>
      </w:r>
      <w:proofErr w:type="spellEnd"/>
      <w:r w:rsidRPr="00677C6A">
        <w:t xml:space="preserve"> </w:t>
      </w:r>
      <w:proofErr w:type="spellStart"/>
      <w:r w:rsidRPr="00677C6A">
        <w:t>eller</w:t>
      </w:r>
      <w:proofErr w:type="spellEnd"/>
      <w:r w:rsidRPr="00677C6A">
        <w:t xml:space="preserve"> en 110 mg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to</w:t>
      </w:r>
      <w:proofErr w:type="spellEnd"/>
      <w:r w:rsidRPr="00677C6A">
        <w:t xml:space="preserve"> 75 mg </w:t>
      </w:r>
      <w:proofErr w:type="spellStart"/>
      <w:r w:rsidRPr="00677C6A">
        <w:t>kapsler</w:t>
      </w:r>
      <w:proofErr w:type="spellEnd"/>
    </w:p>
    <w:p w14:paraId="5FB5B045" w14:textId="77777777" w:rsidR="007164FF" w:rsidRPr="002C047A" w:rsidRDefault="007164FF" w:rsidP="007164FF">
      <w:pPr>
        <w:rPr>
          <w:lang w:val="da-DK"/>
        </w:rPr>
      </w:pPr>
      <w:r w:rsidRPr="00677C6A">
        <w:t xml:space="preserve">220 mg: </w:t>
      </w:r>
      <w:proofErr w:type="spellStart"/>
      <w:r w:rsidRPr="00677C6A">
        <w:t>to</w:t>
      </w:r>
      <w:proofErr w:type="spellEnd"/>
      <w:r w:rsidRPr="00677C6A">
        <w:t xml:space="preserve"> 110 mg </w:t>
      </w:r>
      <w:proofErr w:type="spellStart"/>
      <w:r w:rsidRPr="00677C6A">
        <w:t>kapsler</w:t>
      </w:r>
      <w:proofErr w:type="spellEnd"/>
    </w:p>
    <w:p w14:paraId="1CA1B20D" w14:textId="77777777" w:rsidR="007164FF" w:rsidRPr="002C047A" w:rsidRDefault="007164FF" w:rsidP="007164FF">
      <w:pPr>
        <w:rPr>
          <w:lang w:val="da-DK"/>
        </w:rPr>
      </w:pPr>
      <w:r w:rsidRPr="00677C6A">
        <w:t xml:space="preserve">185 mg: en 75 mg </w:t>
      </w:r>
      <w:proofErr w:type="spellStart"/>
      <w:r w:rsidRPr="00677C6A">
        <w:t>og</w:t>
      </w:r>
      <w:proofErr w:type="spellEnd"/>
      <w:r w:rsidRPr="00677C6A">
        <w:t xml:space="preserve"> en 110 mg </w:t>
      </w:r>
      <w:proofErr w:type="spellStart"/>
      <w:r w:rsidRPr="00677C6A">
        <w:t>kapsel</w:t>
      </w:r>
      <w:proofErr w:type="spellEnd"/>
      <w:r w:rsidRPr="00677C6A">
        <w:t xml:space="preserve"> </w:t>
      </w:r>
    </w:p>
    <w:p w14:paraId="6A9A484A" w14:textId="4A479E23" w:rsidR="00882603" w:rsidRPr="002C047A" w:rsidRDefault="007164FF" w:rsidP="007164FF">
      <w:pPr>
        <w:rPr>
          <w:lang w:val="da-DK"/>
        </w:rPr>
      </w:pPr>
      <w:r w:rsidRPr="00677C6A">
        <w:t xml:space="preserve">150 mg: en 150 mg </w:t>
      </w:r>
      <w:proofErr w:type="spellStart"/>
      <w:r w:rsidRPr="00677C6A">
        <w:t>kapsel</w:t>
      </w:r>
      <w:proofErr w:type="spellEnd"/>
      <w:r w:rsidRPr="00677C6A">
        <w:t xml:space="preserve"> </w:t>
      </w:r>
      <w:proofErr w:type="spellStart"/>
      <w:r w:rsidRPr="00677C6A">
        <w:t>eller</w:t>
      </w:r>
      <w:proofErr w:type="spellEnd"/>
      <w:r w:rsidRPr="00677C6A">
        <w:t xml:space="preserve"> </w:t>
      </w:r>
      <w:proofErr w:type="spellStart"/>
      <w:r w:rsidRPr="00677C6A">
        <w:t>to</w:t>
      </w:r>
      <w:proofErr w:type="spellEnd"/>
      <w:r w:rsidRPr="00677C6A">
        <w:t xml:space="preserve"> 75 mg </w:t>
      </w:r>
      <w:proofErr w:type="spellStart"/>
      <w:r w:rsidRPr="00677C6A">
        <w:t>kapsler</w:t>
      </w:r>
      <w:proofErr w:type="spellEnd"/>
    </w:p>
    <w:p w14:paraId="73B7EA3A" w14:textId="77777777" w:rsidR="00465B27" w:rsidRPr="002C047A" w:rsidRDefault="00465B27" w:rsidP="00376F80">
      <w:pPr>
        <w:rPr>
          <w:b/>
          <w:bCs/>
          <w:lang w:val="da-DK"/>
        </w:rPr>
      </w:pPr>
    </w:p>
    <w:p w14:paraId="0083C1BD" w14:textId="79346C8C" w:rsidR="009C0609" w:rsidRPr="002C047A" w:rsidRDefault="009C0609" w:rsidP="007B3F21">
      <w:pPr>
        <w:spacing w:line="276" w:lineRule="auto"/>
        <w:ind w:left="142"/>
        <w:jc w:val="both"/>
        <w:rPr>
          <w:lang w:val="da-DK"/>
        </w:rPr>
      </w:pPr>
      <w:proofErr w:type="spellStart"/>
      <w:r w:rsidRPr="00677C6A">
        <w:t>For</w:t>
      </w:r>
      <w:proofErr w:type="spellEnd"/>
      <w:r w:rsidRPr="00677C6A">
        <w:t xml:space="preserve"> </w:t>
      </w:r>
      <w:proofErr w:type="spellStart"/>
      <w:r w:rsidRPr="00677C6A">
        <w:t>pædiatriske</w:t>
      </w:r>
      <w:proofErr w:type="spellEnd"/>
      <w:r w:rsidRPr="00677C6A">
        <w:t xml:space="preserve"> </w:t>
      </w:r>
      <w:proofErr w:type="spellStart"/>
      <w:r w:rsidRPr="00677C6A">
        <w:t>patienter</w:t>
      </w:r>
      <w:proofErr w:type="spellEnd"/>
      <w:r w:rsidRPr="00677C6A">
        <w:t xml:space="preserve"> </w:t>
      </w:r>
      <w:proofErr w:type="spellStart"/>
      <w:r w:rsidRPr="00677C6A">
        <w:t>under</w:t>
      </w:r>
      <w:proofErr w:type="spellEnd"/>
      <w:r w:rsidRPr="00677C6A">
        <w:t xml:space="preserve"> 8 </w:t>
      </w:r>
      <w:proofErr w:type="spellStart"/>
      <w:r w:rsidRPr="00677C6A">
        <w:t>år</w:t>
      </w:r>
      <w:proofErr w:type="spellEnd"/>
      <w:r w:rsidRPr="00677C6A">
        <w:t xml:space="preserve"> </w:t>
      </w:r>
      <w:proofErr w:type="spellStart"/>
      <w:r w:rsidRPr="00677C6A">
        <w:t>eller</w:t>
      </w:r>
      <w:proofErr w:type="spellEnd"/>
      <w:r w:rsidRPr="00677C6A">
        <w:t xml:space="preserve"> </w:t>
      </w:r>
      <w:proofErr w:type="spellStart"/>
      <w:r w:rsidRPr="00677C6A">
        <w:t>ældre</w:t>
      </w:r>
      <w:proofErr w:type="spellEnd"/>
      <w:r w:rsidRPr="00677C6A">
        <w:t xml:space="preserve"> </w:t>
      </w:r>
      <w:proofErr w:type="spellStart"/>
      <w:r w:rsidRPr="00677C6A">
        <w:t>patienter</w:t>
      </w:r>
      <w:proofErr w:type="spellEnd"/>
      <w:r w:rsidRPr="00677C6A">
        <w:t xml:space="preserve">, </w:t>
      </w:r>
      <w:proofErr w:type="spellStart"/>
      <w:r w:rsidRPr="00677C6A">
        <w:t>som</w:t>
      </w:r>
      <w:proofErr w:type="spellEnd"/>
      <w:r w:rsidRPr="00677C6A">
        <w:t xml:space="preserve"> har </w:t>
      </w:r>
      <w:proofErr w:type="spellStart"/>
      <w:r w:rsidRPr="00677C6A">
        <w:t>synkebesvær</w:t>
      </w:r>
      <w:proofErr w:type="spellEnd"/>
      <w:r w:rsidRPr="00677C6A">
        <w:t xml:space="preserve"> </w:t>
      </w:r>
      <w:proofErr w:type="spellStart"/>
      <w:r w:rsidRPr="00677C6A">
        <w:t>eller</w:t>
      </w:r>
      <w:proofErr w:type="spellEnd"/>
      <w:r w:rsidRPr="00677C6A">
        <w:t xml:space="preserve"> </w:t>
      </w:r>
      <w:proofErr w:type="spellStart"/>
      <w:r w:rsidRPr="00677C6A">
        <w:t>ikke</w:t>
      </w:r>
      <w:proofErr w:type="spellEnd"/>
      <w:r w:rsidRPr="00677C6A">
        <w:t xml:space="preserve"> </w:t>
      </w:r>
      <w:proofErr w:type="spellStart"/>
      <w:r w:rsidRPr="00677C6A">
        <w:t>ved</w:t>
      </w:r>
      <w:proofErr w:type="spellEnd"/>
      <w:r w:rsidRPr="00677C6A">
        <w:t xml:space="preserve">, </w:t>
      </w:r>
      <w:proofErr w:type="spellStart"/>
      <w:r w:rsidRPr="00677C6A">
        <w:t>hvordan</w:t>
      </w:r>
      <w:proofErr w:type="spellEnd"/>
      <w:r w:rsidRPr="00677C6A">
        <w:t xml:space="preserve"> de </w:t>
      </w:r>
      <w:proofErr w:type="spellStart"/>
      <w:r w:rsidRPr="00677C6A">
        <w:t>skal</w:t>
      </w:r>
      <w:proofErr w:type="spellEnd"/>
      <w:r w:rsidRPr="00677C6A">
        <w:t xml:space="preserve"> </w:t>
      </w:r>
      <w:proofErr w:type="spellStart"/>
      <w:r w:rsidRPr="00677C6A">
        <w:t>synke</w:t>
      </w:r>
      <w:proofErr w:type="spellEnd"/>
      <w:r w:rsidRPr="00677C6A">
        <w:t xml:space="preserve">, </w:t>
      </w:r>
      <w:proofErr w:type="spellStart"/>
      <w:r w:rsidRPr="00677C6A">
        <w:t>findes</w:t>
      </w:r>
      <w:proofErr w:type="spellEnd"/>
      <w:r w:rsidRPr="00677C6A">
        <w:t xml:space="preserve"> der andre </w:t>
      </w:r>
      <w:proofErr w:type="spellStart"/>
      <w:r w:rsidRPr="00677C6A">
        <w:t>alderssvarende</w:t>
      </w:r>
      <w:proofErr w:type="spellEnd"/>
      <w:r w:rsidRPr="00677C6A">
        <w:t xml:space="preserve"> </w:t>
      </w:r>
      <w:proofErr w:type="spellStart"/>
      <w:r w:rsidRPr="00677C6A">
        <w:t>doseringsformer</w:t>
      </w:r>
      <w:proofErr w:type="spellEnd"/>
      <w:r w:rsidRPr="00677C6A">
        <w:t xml:space="preserve"> </w:t>
      </w:r>
      <w:proofErr w:type="spellStart"/>
      <w:r w:rsidRPr="00677C6A">
        <w:t>til</w:t>
      </w:r>
      <w:proofErr w:type="spellEnd"/>
      <w:r w:rsidRPr="00677C6A">
        <w:t xml:space="preserve"> </w:t>
      </w:r>
      <w:proofErr w:type="spellStart"/>
      <w:r w:rsidRPr="00677C6A">
        <w:t>behandling</w:t>
      </w:r>
      <w:proofErr w:type="spellEnd"/>
      <w:r w:rsidRPr="00677C6A">
        <w:t xml:space="preserve"> </w:t>
      </w:r>
      <w:proofErr w:type="spellStart"/>
      <w:r w:rsidRPr="00677C6A">
        <w:t>på</w:t>
      </w:r>
      <w:proofErr w:type="spellEnd"/>
      <w:r w:rsidRPr="00677C6A">
        <w:t xml:space="preserve"> </w:t>
      </w:r>
      <w:proofErr w:type="spellStart"/>
      <w:r w:rsidRPr="00677C6A">
        <w:t>markedet</w:t>
      </w:r>
      <w:proofErr w:type="spellEnd"/>
      <w:r w:rsidRPr="00677C6A">
        <w:t xml:space="preserve">. </w:t>
      </w:r>
    </w:p>
    <w:p w14:paraId="3F56D051" w14:textId="77777777" w:rsidR="00085143" w:rsidRPr="002C047A" w:rsidRDefault="00085143" w:rsidP="00376F80">
      <w:pPr>
        <w:rPr>
          <w:b/>
          <w:bCs/>
          <w:lang w:val="da-DK"/>
        </w:rPr>
      </w:pPr>
    </w:p>
    <w:p w14:paraId="552DBB53" w14:textId="77777777" w:rsidR="00085143" w:rsidRPr="002C047A" w:rsidRDefault="00085143" w:rsidP="00376F80">
      <w:pPr>
        <w:rPr>
          <w:b/>
          <w:bCs/>
          <w:lang w:val="da-DK"/>
        </w:rPr>
      </w:pPr>
    </w:p>
    <w:p w14:paraId="46606E43" w14:textId="78C8A414" w:rsidR="009C1FE3" w:rsidRPr="002C047A" w:rsidRDefault="009C1FE3" w:rsidP="004248F3">
      <w:pPr>
        <w:rPr>
          <w:lang w:val="da-DK"/>
        </w:rPr>
      </w:pPr>
    </w:p>
    <w:p w14:paraId="3AD354F7" w14:textId="77777777" w:rsidR="009C2E7D" w:rsidRPr="002C047A" w:rsidRDefault="009C2E7D" w:rsidP="00376F80">
      <w:pPr>
        <w:rPr>
          <w:lang w:val="da-DK"/>
        </w:rPr>
      </w:pPr>
    </w:p>
    <w:p w14:paraId="747699FA" w14:textId="3CFF5A47" w:rsidR="00882603" w:rsidRPr="002C047A" w:rsidRDefault="007164FF" w:rsidP="00376F80">
      <w:pPr>
        <w:rPr>
          <w:b/>
          <w:bCs/>
          <w:lang w:val="da-DK"/>
        </w:rPr>
      </w:pPr>
      <w:proofErr w:type="spellStart"/>
      <w:r w:rsidRPr="00677C6A">
        <w:rPr>
          <w:b/>
          <w:bCs/>
        </w:rPr>
        <w:t>Varighed</w:t>
      </w:r>
      <w:proofErr w:type="spellEnd"/>
      <w:r w:rsidRPr="00677C6A">
        <w:rPr>
          <w:b/>
          <w:bCs/>
        </w:rPr>
        <w:t xml:space="preserve"> </w:t>
      </w:r>
      <w:proofErr w:type="spellStart"/>
      <w:r w:rsidRPr="00677C6A">
        <w:rPr>
          <w:b/>
          <w:bCs/>
        </w:rPr>
        <w:t>af</w:t>
      </w:r>
      <w:proofErr w:type="spellEnd"/>
      <w:r w:rsidRPr="00677C6A">
        <w:rPr>
          <w:b/>
          <w:bCs/>
        </w:rPr>
        <w:t xml:space="preserve"> </w:t>
      </w:r>
      <w:proofErr w:type="spellStart"/>
      <w:r w:rsidRPr="00677C6A">
        <w:rPr>
          <w:b/>
          <w:bCs/>
        </w:rPr>
        <w:t>brug</w:t>
      </w:r>
      <w:proofErr w:type="spellEnd"/>
    </w:p>
    <w:p w14:paraId="1E573400" w14:textId="502552B9" w:rsidR="00882603" w:rsidRPr="002C047A" w:rsidRDefault="007164FF" w:rsidP="00376F80">
      <w:pPr>
        <w:rPr>
          <w:lang w:val="da-DK"/>
        </w:rPr>
      </w:pPr>
      <w:proofErr w:type="spellStart"/>
      <w:r w:rsidRPr="00677C6A">
        <w:t>Behandlingens</w:t>
      </w:r>
      <w:proofErr w:type="spellEnd"/>
      <w:r w:rsidRPr="00677C6A">
        <w:t xml:space="preserve"> </w:t>
      </w:r>
      <w:proofErr w:type="spellStart"/>
      <w:r w:rsidRPr="00677C6A">
        <w:t>varighed</w:t>
      </w:r>
      <w:proofErr w:type="spellEnd"/>
      <w:r w:rsidRPr="00677C6A">
        <w:t xml:space="preserve"> </w:t>
      </w:r>
      <w:proofErr w:type="spellStart"/>
      <w:r w:rsidRPr="00677C6A">
        <w:t>bør</w:t>
      </w:r>
      <w:proofErr w:type="spellEnd"/>
      <w:r w:rsidRPr="00677C6A">
        <w:t xml:space="preserve"> </w:t>
      </w:r>
      <w:proofErr w:type="spellStart"/>
      <w:r w:rsidRPr="00677C6A">
        <w:t>justeres</w:t>
      </w:r>
      <w:proofErr w:type="spellEnd"/>
      <w:r w:rsidRPr="00677C6A">
        <w:t xml:space="preserve"> </w:t>
      </w:r>
      <w:proofErr w:type="spellStart"/>
      <w:r w:rsidRPr="00677C6A">
        <w:t>individuelt</w:t>
      </w:r>
      <w:proofErr w:type="spellEnd"/>
      <w:r w:rsidRPr="00677C6A">
        <w:t xml:space="preserve"> </w:t>
      </w:r>
      <w:proofErr w:type="spellStart"/>
      <w:r w:rsidRPr="00677C6A">
        <w:t>efter</w:t>
      </w:r>
      <w:proofErr w:type="spellEnd"/>
      <w:r w:rsidRPr="00677C6A">
        <w:t xml:space="preserve"> </w:t>
      </w:r>
      <w:proofErr w:type="spellStart"/>
      <w:r w:rsidRPr="00677C6A">
        <w:t>estimering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forholdet</w:t>
      </w:r>
      <w:proofErr w:type="spellEnd"/>
      <w:r w:rsidRPr="00677C6A">
        <w:t xml:space="preserve"> </w:t>
      </w:r>
      <w:proofErr w:type="spellStart"/>
      <w:r w:rsidRPr="00677C6A">
        <w:t>mellem</w:t>
      </w:r>
      <w:proofErr w:type="spellEnd"/>
      <w:r w:rsidRPr="00677C6A">
        <w:t xml:space="preserve"> </w:t>
      </w:r>
      <w:proofErr w:type="spellStart"/>
      <w:r w:rsidRPr="00677C6A">
        <w:t>fordele</w:t>
      </w:r>
      <w:proofErr w:type="spellEnd"/>
      <w:r w:rsidRPr="00677C6A">
        <w:t xml:space="preserve">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risici</w:t>
      </w:r>
      <w:proofErr w:type="spellEnd"/>
      <w:r w:rsidRPr="00677C6A">
        <w:t>.</w:t>
      </w:r>
    </w:p>
    <w:p w14:paraId="55D2DF52" w14:textId="77777777" w:rsidR="00882603" w:rsidRPr="002C047A" w:rsidRDefault="00882603" w:rsidP="00376F80">
      <w:pPr>
        <w:rPr>
          <w:lang w:val="da-DK"/>
        </w:rPr>
      </w:pPr>
    </w:p>
    <w:p w14:paraId="77EF2BCF" w14:textId="27D57EDF" w:rsidR="00755DD1" w:rsidRPr="002C047A" w:rsidRDefault="00755DD1" w:rsidP="00755DD1">
      <w:pPr>
        <w:rPr>
          <w:b/>
          <w:bCs/>
          <w:lang w:val="da-DK"/>
        </w:rPr>
      </w:pPr>
      <w:proofErr w:type="spellStart"/>
      <w:r w:rsidRPr="00677C6A">
        <w:rPr>
          <w:b/>
          <w:bCs/>
        </w:rPr>
        <w:t>Anbefaling</w:t>
      </w:r>
      <w:proofErr w:type="spellEnd"/>
      <w:r w:rsidRPr="00677C6A">
        <w:rPr>
          <w:b/>
          <w:bCs/>
        </w:rPr>
        <w:t xml:space="preserve"> </w:t>
      </w:r>
      <w:proofErr w:type="spellStart"/>
      <w:r w:rsidRPr="00677C6A">
        <w:rPr>
          <w:b/>
          <w:bCs/>
        </w:rPr>
        <w:t>til</w:t>
      </w:r>
      <w:proofErr w:type="spellEnd"/>
      <w:r w:rsidRPr="00677C6A">
        <w:rPr>
          <w:b/>
          <w:bCs/>
        </w:rPr>
        <w:t xml:space="preserve"> </w:t>
      </w:r>
      <w:proofErr w:type="spellStart"/>
      <w:r w:rsidRPr="00677C6A">
        <w:rPr>
          <w:b/>
          <w:bCs/>
        </w:rPr>
        <w:t>kontrol</w:t>
      </w:r>
      <w:proofErr w:type="spellEnd"/>
      <w:r w:rsidRPr="00677C6A">
        <w:rPr>
          <w:b/>
          <w:bCs/>
        </w:rPr>
        <w:t xml:space="preserve"> </w:t>
      </w:r>
      <w:proofErr w:type="spellStart"/>
      <w:r w:rsidRPr="00677C6A">
        <w:rPr>
          <w:b/>
          <w:bCs/>
        </w:rPr>
        <w:t>af</w:t>
      </w:r>
      <w:proofErr w:type="spellEnd"/>
      <w:r w:rsidRPr="00677C6A">
        <w:rPr>
          <w:b/>
          <w:bCs/>
        </w:rPr>
        <w:t xml:space="preserve"> </w:t>
      </w:r>
      <w:proofErr w:type="spellStart"/>
      <w:r w:rsidRPr="00677C6A">
        <w:rPr>
          <w:b/>
          <w:bCs/>
        </w:rPr>
        <w:t>nyrefunktionen</w:t>
      </w:r>
      <w:proofErr w:type="spellEnd"/>
    </w:p>
    <w:p w14:paraId="565FA994" w14:textId="306884EB" w:rsidR="00755DD1" w:rsidRPr="002C047A" w:rsidRDefault="00764E57" w:rsidP="00755DD1">
      <w:pPr>
        <w:rPr>
          <w:lang w:val="da-DK"/>
        </w:rPr>
      </w:pPr>
      <w:r w:rsidRPr="00677C6A">
        <w:t xml:space="preserve">• </w:t>
      </w:r>
      <w:proofErr w:type="spellStart"/>
      <w:r w:rsidRPr="00677C6A">
        <w:t>Før</w:t>
      </w:r>
      <w:proofErr w:type="spellEnd"/>
      <w:r w:rsidRPr="00677C6A">
        <w:t xml:space="preserve"> </w:t>
      </w:r>
      <w:proofErr w:type="spellStart"/>
      <w:r w:rsidRPr="00677C6A">
        <w:t>behandling</w:t>
      </w:r>
      <w:proofErr w:type="spellEnd"/>
      <w:r w:rsidRPr="00677C6A">
        <w:t xml:space="preserve"> med </w:t>
      </w:r>
      <w:proofErr w:type="spellStart"/>
      <w:r w:rsidRPr="00677C6A">
        <w:t>dabigatranetexilat</w:t>
      </w:r>
      <w:proofErr w:type="spellEnd"/>
      <w:r w:rsidRPr="00677C6A">
        <w:t xml:space="preserve"> </w:t>
      </w:r>
      <w:proofErr w:type="spellStart"/>
      <w:r w:rsidRPr="00677C6A">
        <w:t>påbegyndes</w:t>
      </w:r>
      <w:proofErr w:type="spellEnd"/>
      <w:r w:rsidRPr="00677C6A">
        <w:t xml:space="preserve">, </w:t>
      </w:r>
      <w:proofErr w:type="spellStart"/>
      <w:r w:rsidRPr="00677C6A">
        <w:t>skal</w:t>
      </w:r>
      <w:proofErr w:type="spellEnd"/>
      <w:r w:rsidRPr="00677C6A">
        <w:t xml:space="preserve"> den </w:t>
      </w:r>
      <w:proofErr w:type="spellStart"/>
      <w:r w:rsidRPr="00677C6A">
        <w:t>estimerede</w:t>
      </w:r>
      <w:proofErr w:type="spellEnd"/>
      <w:r w:rsidRPr="00677C6A">
        <w:t xml:space="preserve"> </w:t>
      </w:r>
      <w:proofErr w:type="spellStart"/>
      <w:r w:rsidRPr="00677C6A">
        <w:t>glomerulære</w:t>
      </w:r>
      <w:proofErr w:type="spellEnd"/>
      <w:r w:rsidRPr="00677C6A">
        <w:t xml:space="preserve"> </w:t>
      </w:r>
      <w:proofErr w:type="spellStart"/>
      <w:r w:rsidRPr="00677C6A">
        <w:t>filtreringshastighed</w:t>
      </w:r>
      <w:proofErr w:type="spellEnd"/>
      <w:r w:rsidRPr="00677C6A">
        <w:t xml:space="preserve"> (</w:t>
      </w:r>
      <w:proofErr w:type="spellStart"/>
      <w:r w:rsidRPr="00677C6A">
        <w:t>eGFR</w:t>
      </w:r>
      <w:proofErr w:type="spellEnd"/>
      <w:r w:rsidRPr="00677C6A">
        <w:t xml:space="preserve">) </w:t>
      </w:r>
      <w:proofErr w:type="spellStart"/>
      <w:r w:rsidRPr="00677C6A">
        <w:t>estimeres</w:t>
      </w:r>
      <w:proofErr w:type="spellEnd"/>
      <w:r w:rsidRPr="00677C6A">
        <w:t xml:space="preserve"> </w:t>
      </w:r>
      <w:proofErr w:type="spellStart"/>
      <w:r w:rsidRPr="00677C6A">
        <w:t>ved</w:t>
      </w:r>
      <w:proofErr w:type="spellEnd"/>
      <w:r w:rsidRPr="00677C6A">
        <w:t xml:space="preserve"> </w:t>
      </w:r>
      <w:proofErr w:type="spellStart"/>
      <w:r w:rsidRPr="00677C6A">
        <w:t>hjælp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Schwartz-</w:t>
      </w:r>
      <w:proofErr w:type="spellStart"/>
      <w:r w:rsidRPr="00677C6A">
        <w:t>formlen</w:t>
      </w:r>
      <w:proofErr w:type="spellEnd"/>
      <w:r w:rsidRPr="00677C6A">
        <w:t xml:space="preserve"> (</w:t>
      </w:r>
      <w:proofErr w:type="gramStart"/>
      <w:r w:rsidR="00E235E2">
        <w:t xml:space="preserve">den </w:t>
      </w:r>
      <w:r w:rsidRPr="00677C6A">
        <w:t xml:space="preserve"> </w:t>
      </w:r>
      <w:proofErr w:type="spellStart"/>
      <w:r w:rsidRPr="00677C6A">
        <w:t>metode</w:t>
      </w:r>
      <w:proofErr w:type="spellEnd"/>
      <w:proofErr w:type="gramEnd"/>
      <w:r w:rsidRPr="00677C6A">
        <w:t xml:space="preserve"> </w:t>
      </w:r>
      <w:proofErr w:type="spellStart"/>
      <w:r w:rsidR="009E5AE3">
        <w:t>som</w:t>
      </w:r>
      <w:proofErr w:type="spellEnd"/>
      <w:r w:rsidR="009E5AE3">
        <w:t xml:space="preserve"> </w:t>
      </w:r>
      <w:proofErr w:type="spellStart"/>
      <w:r w:rsidR="009E5AE3">
        <w:t>anvendes</w:t>
      </w:r>
      <w:proofErr w:type="spellEnd"/>
      <w:r w:rsidR="009E5AE3">
        <w:t xml:space="preserve"> </w:t>
      </w:r>
      <w:proofErr w:type="spellStart"/>
      <w:r w:rsidR="009E5AE3">
        <w:t>til</w:t>
      </w:r>
      <w:proofErr w:type="spellEnd"/>
      <w:r w:rsidR="009E5AE3">
        <w:t xml:space="preserve"> </w:t>
      </w:r>
      <w:r w:rsidRPr="00677C6A">
        <w:t xml:space="preserve"> </w:t>
      </w:r>
      <w:proofErr w:type="spellStart"/>
      <w:r w:rsidRPr="00677C6A">
        <w:t>kreatininbestemmelse</w:t>
      </w:r>
      <w:proofErr w:type="spellEnd"/>
      <w:r w:rsidRPr="00677C6A">
        <w:t xml:space="preserve"> </w:t>
      </w:r>
      <w:proofErr w:type="spellStart"/>
      <w:r w:rsidR="00800900">
        <w:t>skal</w:t>
      </w:r>
      <w:proofErr w:type="spellEnd"/>
      <w:r w:rsidR="00800900">
        <w:t xml:space="preserve"> </w:t>
      </w:r>
      <w:proofErr w:type="spellStart"/>
      <w:r w:rsidR="00800900">
        <w:t>kontrolleres</w:t>
      </w:r>
      <w:proofErr w:type="spellEnd"/>
      <w:r w:rsidR="00800900">
        <w:t xml:space="preserve"> </w:t>
      </w:r>
      <w:r w:rsidRPr="00677C6A">
        <w:t xml:space="preserve">med </w:t>
      </w:r>
      <w:proofErr w:type="spellStart"/>
      <w:r w:rsidRPr="00677C6A">
        <w:t>lokal</w:t>
      </w:r>
      <w:r w:rsidR="00800900">
        <w:t>t</w:t>
      </w:r>
      <w:proofErr w:type="spellEnd"/>
      <w:r w:rsidRPr="00677C6A">
        <w:t xml:space="preserve"> </w:t>
      </w:r>
      <w:proofErr w:type="spellStart"/>
      <w:r w:rsidRPr="00677C6A">
        <w:t>laboratorium</w:t>
      </w:r>
      <w:proofErr w:type="spellEnd"/>
      <w:r w:rsidRPr="00677C6A">
        <w:t>).</w:t>
      </w:r>
    </w:p>
    <w:p w14:paraId="2EF97D04" w14:textId="7EE27FCA" w:rsidR="00755DD1" w:rsidRPr="002C047A" w:rsidRDefault="00764E57" w:rsidP="00764E57">
      <w:pPr>
        <w:rPr>
          <w:lang w:val="da-DK"/>
        </w:rPr>
      </w:pPr>
      <w:r w:rsidRPr="00677C6A">
        <w:t xml:space="preserve">• Hos </w:t>
      </w:r>
      <w:proofErr w:type="spellStart"/>
      <w:r w:rsidRPr="00677C6A">
        <w:t>børn</w:t>
      </w:r>
      <w:proofErr w:type="spellEnd"/>
      <w:r w:rsidRPr="00677C6A">
        <w:t xml:space="preserve">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unge</w:t>
      </w:r>
      <w:proofErr w:type="spellEnd"/>
      <w:r w:rsidRPr="00677C6A">
        <w:t xml:space="preserve"> med en </w:t>
      </w:r>
      <w:proofErr w:type="spellStart"/>
      <w:r w:rsidRPr="00677C6A">
        <w:t>eGFR</w:t>
      </w:r>
      <w:proofErr w:type="spellEnd"/>
      <w:r w:rsidRPr="00677C6A">
        <w:t xml:space="preserve"> &lt; 50 ml/min/1,73 m2 er </w:t>
      </w:r>
      <w:proofErr w:type="spellStart"/>
      <w:r w:rsidRPr="00677C6A">
        <w:t>behandling</w:t>
      </w:r>
      <w:proofErr w:type="spellEnd"/>
      <w:r w:rsidRPr="00677C6A">
        <w:t xml:space="preserve"> med </w:t>
      </w:r>
      <w:proofErr w:type="spellStart"/>
      <w:r w:rsidRPr="00677C6A">
        <w:t>dabigatranetexilat</w:t>
      </w:r>
      <w:proofErr w:type="spellEnd"/>
      <w:r w:rsidRPr="00677C6A">
        <w:t xml:space="preserve"> </w:t>
      </w:r>
      <w:proofErr w:type="spellStart"/>
      <w:r w:rsidRPr="00677C6A">
        <w:t>kontraindiceret</w:t>
      </w:r>
      <w:proofErr w:type="spellEnd"/>
      <w:r w:rsidRPr="00677C6A">
        <w:t xml:space="preserve"> (se </w:t>
      </w:r>
      <w:proofErr w:type="spellStart"/>
      <w:r w:rsidRPr="00677C6A">
        <w:t>afsnittet</w:t>
      </w:r>
      <w:proofErr w:type="spellEnd"/>
      <w:r w:rsidRPr="00677C6A">
        <w:t xml:space="preserve"> </w:t>
      </w:r>
      <w:proofErr w:type="spellStart"/>
      <w:r w:rsidRPr="00677C6A">
        <w:t>Kontraindikationer</w:t>
      </w:r>
      <w:proofErr w:type="spellEnd"/>
      <w:r w:rsidRPr="00677C6A">
        <w:t>).</w:t>
      </w:r>
    </w:p>
    <w:p w14:paraId="41BAD7A1" w14:textId="173C9CA9" w:rsidR="00755DD1" w:rsidRPr="002C047A" w:rsidRDefault="00784274" w:rsidP="00755DD1">
      <w:pPr>
        <w:rPr>
          <w:lang w:val="da-DK"/>
        </w:rPr>
      </w:pPr>
      <w:r w:rsidRPr="00677C6A">
        <w:t xml:space="preserve">• </w:t>
      </w:r>
      <w:proofErr w:type="spellStart"/>
      <w:r w:rsidRPr="00677C6A">
        <w:t>Patienter</w:t>
      </w:r>
      <w:proofErr w:type="spellEnd"/>
      <w:r w:rsidRPr="00677C6A">
        <w:t xml:space="preserve"> med en </w:t>
      </w:r>
      <w:proofErr w:type="spellStart"/>
      <w:r w:rsidRPr="00677C6A">
        <w:t>eGFR</w:t>
      </w:r>
      <w:proofErr w:type="spellEnd"/>
      <w:r w:rsidRPr="00677C6A">
        <w:t xml:space="preserve"> ≥ 50 ml/min/1,73 m2 </w:t>
      </w:r>
      <w:proofErr w:type="spellStart"/>
      <w:r w:rsidRPr="00677C6A">
        <w:t>bør</w:t>
      </w:r>
      <w:proofErr w:type="spellEnd"/>
      <w:r w:rsidRPr="00677C6A">
        <w:t xml:space="preserve"> </w:t>
      </w:r>
      <w:proofErr w:type="spellStart"/>
      <w:r w:rsidRPr="00677C6A">
        <w:t>behandles</w:t>
      </w:r>
      <w:proofErr w:type="spellEnd"/>
      <w:r w:rsidRPr="00677C6A">
        <w:t xml:space="preserve"> med den passende </w:t>
      </w:r>
      <w:proofErr w:type="spellStart"/>
      <w:r w:rsidRPr="00677C6A">
        <w:t>dosis</w:t>
      </w:r>
      <w:proofErr w:type="spellEnd"/>
      <w:r w:rsidRPr="00677C6A">
        <w:t xml:space="preserve"> i </w:t>
      </w:r>
      <w:proofErr w:type="spellStart"/>
      <w:r w:rsidRPr="00677C6A">
        <w:t>henhold</w:t>
      </w:r>
      <w:proofErr w:type="spellEnd"/>
      <w:r w:rsidRPr="00677C6A">
        <w:t xml:space="preserve"> </w:t>
      </w:r>
      <w:proofErr w:type="spellStart"/>
      <w:r w:rsidRPr="00677C6A">
        <w:t>til</w:t>
      </w:r>
      <w:proofErr w:type="spellEnd"/>
      <w:r w:rsidRPr="00677C6A">
        <w:t xml:space="preserve"> </w:t>
      </w:r>
      <w:proofErr w:type="spellStart"/>
      <w:r w:rsidRPr="00677C6A">
        <w:t>doseringstabellen</w:t>
      </w:r>
      <w:proofErr w:type="spellEnd"/>
      <w:r w:rsidRPr="00677C6A">
        <w:t xml:space="preserve"> </w:t>
      </w:r>
      <w:proofErr w:type="spellStart"/>
      <w:r w:rsidRPr="00677C6A">
        <w:t>ovenfor</w:t>
      </w:r>
      <w:proofErr w:type="spellEnd"/>
      <w:r w:rsidRPr="00677C6A">
        <w:t xml:space="preserve"> (se </w:t>
      </w:r>
      <w:proofErr w:type="spellStart"/>
      <w:r w:rsidRPr="00677C6A">
        <w:t>tabel</w:t>
      </w:r>
      <w:proofErr w:type="spellEnd"/>
      <w:r w:rsidRPr="00677C6A">
        <w:t xml:space="preserve"> 1).</w:t>
      </w:r>
    </w:p>
    <w:p w14:paraId="3CE5BF75" w14:textId="77777777" w:rsidR="00784274" w:rsidRPr="002C047A" w:rsidRDefault="00784274" w:rsidP="00755DD1">
      <w:pPr>
        <w:rPr>
          <w:lang w:val="da-DK"/>
        </w:rPr>
      </w:pPr>
    </w:p>
    <w:p w14:paraId="1DA76150" w14:textId="2361BBBD" w:rsidR="008659B7" w:rsidRPr="002C047A" w:rsidRDefault="00A62069" w:rsidP="008659B7">
      <w:pPr>
        <w:rPr>
          <w:b/>
          <w:bCs/>
          <w:lang w:val="da-DK"/>
        </w:rPr>
      </w:pPr>
      <w:proofErr w:type="spellStart"/>
      <w:r>
        <w:rPr>
          <w:b/>
          <w:bCs/>
        </w:rPr>
        <w:t>Behandlingsskifte</w:t>
      </w:r>
      <w:proofErr w:type="spellEnd"/>
    </w:p>
    <w:p w14:paraId="394D055E" w14:textId="2BC60EB8" w:rsidR="008659B7" w:rsidRPr="002C047A" w:rsidRDefault="008659B7" w:rsidP="008659B7">
      <w:pPr>
        <w:rPr>
          <w:i/>
          <w:iCs/>
          <w:lang w:val="da-DK"/>
        </w:rPr>
      </w:pPr>
      <w:proofErr w:type="spellStart"/>
      <w:r w:rsidRPr="00677C6A">
        <w:rPr>
          <w:i/>
          <w:iCs/>
        </w:rPr>
        <w:t>Fra</w:t>
      </w:r>
      <w:proofErr w:type="spellEnd"/>
      <w:r w:rsidRPr="00677C6A">
        <w:rPr>
          <w:i/>
          <w:iCs/>
        </w:rPr>
        <w:t xml:space="preserve"> </w:t>
      </w:r>
      <w:proofErr w:type="spellStart"/>
      <w:r w:rsidRPr="00677C6A">
        <w:rPr>
          <w:i/>
          <w:iCs/>
        </w:rPr>
        <w:t>dabigatranetexilat</w:t>
      </w:r>
      <w:proofErr w:type="spellEnd"/>
      <w:r w:rsidRPr="00677C6A">
        <w:rPr>
          <w:i/>
          <w:iCs/>
        </w:rPr>
        <w:t xml:space="preserve"> </w:t>
      </w:r>
      <w:proofErr w:type="spellStart"/>
      <w:r w:rsidRPr="00677C6A">
        <w:rPr>
          <w:i/>
          <w:iCs/>
        </w:rPr>
        <w:t>til</w:t>
      </w:r>
      <w:proofErr w:type="spellEnd"/>
      <w:r w:rsidRPr="00677C6A">
        <w:rPr>
          <w:i/>
          <w:iCs/>
        </w:rPr>
        <w:t xml:space="preserve"> parenteral </w:t>
      </w:r>
      <w:proofErr w:type="spellStart"/>
      <w:r w:rsidRPr="00677C6A">
        <w:rPr>
          <w:i/>
          <w:iCs/>
        </w:rPr>
        <w:t>antikoagulant</w:t>
      </w:r>
      <w:proofErr w:type="spellEnd"/>
    </w:p>
    <w:p w14:paraId="5AD3AFAD" w14:textId="77777777" w:rsidR="008659B7" w:rsidRPr="002C047A" w:rsidRDefault="008659B7" w:rsidP="008659B7">
      <w:pPr>
        <w:rPr>
          <w:lang w:val="da-DK"/>
        </w:rPr>
      </w:pPr>
      <w:proofErr w:type="spellStart"/>
      <w:r w:rsidRPr="00677C6A">
        <w:t>Det</w:t>
      </w:r>
      <w:proofErr w:type="spellEnd"/>
      <w:r w:rsidRPr="00677C6A">
        <w:t xml:space="preserve"> </w:t>
      </w:r>
      <w:proofErr w:type="spellStart"/>
      <w:r w:rsidRPr="00677C6A">
        <w:t>anbefales</w:t>
      </w:r>
      <w:proofErr w:type="spellEnd"/>
      <w:r w:rsidRPr="00677C6A">
        <w:t xml:space="preserve"> at </w:t>
      </w:r>
      <w:proofErr w:type="spellStart"/>
      <w:r w:rsidRPr="00677C6A">
        <w:t>vente</w:t>
      </w:r>
      <w:proofErr w:type="spellEnd"/>
      <w:r w:rsidRPr="00677C6A">
        <w:t xml:space="preserve"> 12 </w:t>
      </w:r>
      <w:proofErr w:type="spellStart"/>
      <w:r w:rsidRPr="00677C6A">
        <w:t>timer</w:t>
      </w:r>
      <w:proofErr w:type="spellEnd"/>
      <w:r w:rsidRPr="00677C6A">
        <w:t xml:space="preserve"> </w:t>
      </w:r>
      <w:proofErr w:type="spellStart"/>
      <w:r w:rsidRPr="00677C6A">
        <w:t>efter</w:t>
      </w:r>
      <w:proofErr w:type="spellEnd"/>
      <w:r w:rsidRPr="00677C6A">
        <w:t xml:space="preserve"> den </w:t>
      </w:r>
      <w:proofErr w:type="spellStart"/>
      <w:r w:rsidRPr="00677C6A">
        <w:t>sidste</w:t>
      </w:r>
      <w:proofErr w:type="spellEnd"/>
      <w:r w:rsidRPr="00677C6A">
        <w:t xml:space="preserve"> </w:t>
      </w:r>
      <w:proofErr w:type="spellStart"/>
      <w:r w:rsidRPr="00677C6A">
        <w:t>dosis</w:t>
      </w:r>
      <w:proofErr w:type="spellEnd"/>
      <w:r w:rsidRPr="00677C6A">
        <w:t xml:space="preserve">, </w:t>
      </w:r>
      <w:proofErr w:type="spellStart"/>
      <w:r w:rsidRPr="00677C6A">
        <w:t>før</w:t>
      </w:r>
      <w:proofErr w:type="spellEnd"/>
      <w:r w:rsidRPr="00677C6A">
        <w:t xml:space="preserve"> der </w:t>
      </w:r>
      <w:proofErr w:type="spellStart"/>
      <w:r w:rsidRPr="00677C6A">
        <w:t>skiftes</w:t>
      </w:r>
      <w:proofErr w:type="spellEnd"/>
      <w:r w:rsidRPr="00677C6A">
        <w:t xml:space="preserve"> </w:t>
      </w:r>
      <w:proofErr w:type="spellStart"/>
      <w:r w:rsidRPr="00677C6A">
        <w:t>fra</w:t>
      </w:r>
      <w:proofErr w:type="spellEnd"/>
      <w:r w:rsidRPr="00677C6A">
        <w:t xml:space="preserve"> </w:t>
      </w:r>
      <w:proofErr w:type="spellStart"/>
      <w:r w:rsidRPr="00677C6A">
        <w:t>dabigatranetexilat</w:t>
      </w:r>
      <w:proofErr w:type="spellEnd"/>
      <w:r w:rsidRPr="00677C6A">
        <w:t xml:space="preserve"> </w:t>
      </w:r>
      <w:proofErr w:type="spellStart"/>
      <w:r w:rsidRPr="00677C6A">
        <w:t>til</w:t>
      </w:r>
      <w:proofErr w:type="spellEnd"/>
      <w:r w:rsidRPr="00677C6A">
        <w:t xml:space="preserve"> </w:t>
      </w:r>
      <w:proofErr w:type="spellStart"/>
      <w:r w:rsidRPr="00677C6A">
        <w:t>parenteralt</w:t>
      </w:r>
      <w:proofErr w:type="spellEnd"/>
      <w:r w:rsidRPr="00677C6A">
        <w:t xml:space="preserve"> </w:t>
      </w:r>
      <w:proofErr w:type="spellStart"/>
      <w:r w:rsidRPr="00677C6A">
        <w:t>antikoagulantia</w:t>
      </w:r>
      <w:proofErr w:type="spellEnd"/>
      <w:r w:rsidRPr="00677C6A">
        <w:t>.</w:t>
      </w:r>
    </w:p>
    <w:p w14:paraId="4D576E80" w14:textId="77777777" w:rsidR="008659B7" w:rsidRPr="002C047A" w:rsidRDefault="008659B7" w:rsidP="008659B7">
      <w:pPr>
        <w:rPr>
          <w:i/>
          <w:iCs/>
          <w:lang w:val="da-DK"/>
        </w:rPr>
      </w:pPr>
    </w:p>
    <w:p w14:paraId="06077976" w14:textId="2F904943" w:rsidR="008659B7" w:rsidRPr="008A21E8" w:rsidRDefault="008659B7" w:rsidP="008659B7">
      <w:pPr>
        <w:rPr>
          <w:i/>
          <w:iCs/>
          <w:lang w:val="da-DK"/>
        </w:rPr>
      </w:pPr>
      <w:proofErr w:type="spellStart"/>
      <w:r w:rsidRPr="00677C6A">
        <w:rPr>
          <w:i/>
          <w:iCs/>
        </w:rPr>
        <w:t>Fra</w:t>
      </w:r>
      <w:proofErr w:type="spellEnd"/>
      <w:r w:rsidRPr="00677C6A">
        <w:rPr>
          <w:i/>
          <w:iCs/>
        </w:rPr>
        <w:t xml:space="preserve"> et </w:t>
      </w:r>
      <w:proofErr w:type="spellStart"/>
      <w:r w:rsidRPr="00677C6A">
        <w:rPr>
          <w:i/>
          <w:iCs/>
        </w:rPr>
        <w:t>parenteralt</w:t>
      </w:r>
      <w:proofErr w:type="spellEnd"/>
      <w:r w:rsidRPr="00677C6A">
        <w:rPr>
          <w:i/>
          <w:iCs/>
        </w:rPr>
        <w:t xml:space="preserve"> </w:t>
      </w:r>
      <w:proofErr w:type="spellStart"/>
      <w:r w:rsidRPr="00677C6A">
        <w:rPr>
          <w:i/>
          <w:iCs/>
        </w:rPr>
        <w:t>antikoagulant</w:t>
      </w:r>
      <w:proofErr w:type="spellEnd"/>
      <w:r w:rsidRPr="00677C6A">
        <w:rPr>
          <w:i/>
          <w:iCs/>
        </w:rPr>
        <w:t xml:space="preserve"> </w:t>
      </w:r>
      <w:proofErr w:type="spellStart"/>
      <w:r w:rsidRPr="00677C6A">
        <w:rPr>
          <w:i/>
          <w:iCs/>
        </w:rPr>
        <w:t>til</w:t>
      </w:r>
      <w:proofErr w:type="spellEnd"/>
      <w:r w:rsidRPr="00677C6A">
        <w:rPr>
          <w:i/>
          <w:iCs/>
        </w:rPr>
        <w:t xml:space="preserve"> </w:t>
      </w:r>
      <w:proofErr w:type="spellStart"/>
      <w:r w:rsidRPr="00677C6A">
        <w:rPr>
          <w:i/>
          <w:iCs/>
        </w:rPr>
        <w:t>dabigatranetexilat</w:t>
      </w:r>
      <w:proofErr w:type="spellEnd"/>
    </w:p>
    <w:p w14:paraId="67CB4FC6" w14:textId="4CF17DA6" w:rsidR="008659B7" w:rsidRPr="008A21E8" w:rsidRDefault="00410892" w:rsidP="008659B7">
      <w:pPr>
        <w:rPr>
          <w:lang w:val="da-DK"/>
        </w:rPr>
      </w:pPr>
      <w:r w:rsidRPr="00677C6A">
        <w:t xml:space="preserve">Parenteral </w:t>
      </w:r>
      <w:proofErr w:type="spellStart"/>
      <w:r w:rsidRPr="00677C6A">
        <w:t>antikoagulation</w:t>
      </w:r>
      <w:proofErr w:type="spellEnd"/>
      <w:r w:rsidRPr="00677C6A">
        <w:t xml:space="preserve"> </w:t>
      </w:r>
      <w:proofErr w:type="spellStart"/>
      <w:r w:rsidRPr="00677C6A">
        <w:t>bør</w:t>
      </w:r>
      <w:proofErr w:type="spellEnd"/>
      <w:r w:rsidRPr="00677C6A">
        <w:t xml:space="preserve"> </w:t>
      </w:r>
      <w:proofErr w:type="spellStart"/>
      <w:r w:rsidRPr="00677C6A">
        <w:t>seponeres</w:t>
      </w:r>
      <w:proofErr w:type="spellEnd"/>
      <w:r w:rsidRPr="00677C6A">
        <w:t xml:space="preserve">,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dabigatranetexilat</w:t>
      </w:r>
      <w:proofErr w:type="spellEnd"/>
      <w:r w:rsidRPr="00677C6A">
        <w:t xml:space="preserve"> </w:t>
      </w:r>
      <w:proofErr w:type="spellStart"/>
      <w:r w:rsidRPr="00677C6A">
        <w:t>bør</w:t>
      </w:r>
      <w:proofErr w:type="spellEnd"/>
      <w:r w:rsidRPr="00677C6A">
        <w:t xml:space="preserve"> </w:t>
      </w:r>
      <w:proofErr w:type="spellStart"/>
      <w:r w:rsidRPr="00677C6A">
        <w:t>gives</w:t>
      </w:r>
      <w:proofErr w:type="spellEnd"/>
      <w:r w:rsidRPr="00677C6A">
        <w:t xml:space="preserve"> 0 </w:t>
      </w:r>
      <w:proofErr w:type="spellStart"/>
      <w:r w:rsidRPr="00677C6A">
        <w:t>til</w:t>
      </w:r>
      <w:proofErr w:type="spellEnd"/>
      <w:r w:rsidRPr="00677C6A">
        <w:t xml:space="preserve"> 2 </w:t>
      </w:r>
      <w:proofErr w:type="spellStart"/>
      <w:r w:rsidRPr="00677C6A">
        <w:t>timer</w:t>
      </w:r>
      <w:proofErr w:type="spellEnd"/>
      <w:r w:rsidRPr="00677C6A">
        <w:t xml:space="preserve"> </w:t>
      </w:r>
      <w:proofErr w:type="spellStart"/>
      <w:r w:rsidRPr="00677C6A">
        <w:t>før</w:t>
      </w:r>
      <w:proofErr w:type="spellEnd"/>
      <w:r w:rsidRPr="00677C6A">
        <w:t xml:space="preserve"> </w:t>
      </w:r>
      <w:proofErr w:type="spellStart"/>
      <w:r w:rsidRPr="00677C6A">
        <w:t>næste</w:t>
      </w:r>
      <w:proofErr w:type="spellEnd"/>
      <w:r w:rsidRPr="00677C6A">
        <w:t xml:space="preserve"> </w:t>
      </w:r>
      <w:proofErr w:type="spellStart"/>
      <w:r w:rsidRPr="00677C6A">
        <w:t>planlagte</w:t>
      </w:r>
      <w:proofErr w:type="spellEnd"/>
      <w:r w:rsidRPr="00677C6A">
        <w:t xml:space="preserve"> </w:t>
      </w:r>
      <w:proofErr w:type="spellStart"/>
      <w:r w:rsidRPr="00677C6A">
        <w:t>brug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det</w:t>
      </w:r>
      <w:proofErr w:type="spellEnd"/>
      <w:r w:rsidRPr="00677C6A">
        <w:t xml:space="preserve"> alternative </w:t>
      </w:r>
      <w:proofErr w:type="spellStart"/>
      <w:r w:rsidRPr="00677C6A">
        <w:t>lægemiddel</w:t>
      </w:r>
      <w:proofErr w:type="spellEnd"/>
      <w:r w:rsidRPr="00677C6A">
        <w:t xml:space="preserve"> </w:t>
      </w:r>
      <w:proofErr w:type="spellStart"/>
      <w:r w:rsidRPr="00677C6A">
        <w:t>eller</w:t>
      </w:r>
      <w:proofErr w:type="spellEnd"/>
      <w:r w:rsidRPr="00677C6A">
        <w:t xml:space="preserve"> med </w:t>
      </w:r>
      <w:proofErr w:type="spellStart"/>
      <w:r w:rsidRPr="00677C6A">
        <w:t>igangværende</w:t>
      </w:r>
      <w:proofErr w:type="spellEnd"/>
      <w:r w:rsidRPr="00677C6A">
        <w:t xml:space="preserve"> </w:t>
      </w:r>
      <w:proofErr w:type="spellStart"/>
      <w:r w:rsidRPr="00677C6A">
        <w:t>behandling</w:t>
      </w:r>
      <w:proofErr w:type="spellEnd"/>
      <w:r w:rsidRPr="00677C6A">
        <w:t xml:space="preserve"> (</w:t>
      </w:r>
      <w:proofErr w:type="spellStart"/>
      <w:r w:rsidRPr="00677C6A">
        <w:t>f.eks</w:t>
      </w:r>
      <w:proofErr w:type="spellEnd"/>
      <w:r w:rsidRPr="00677C6A">
        <w:t xml:space="preserve">. </w:t>
      </w:r>
      <w:proofErr w:type="spellStart"/>
      <w:r w:rsidRPr="00677C6A">
        <w:t>intravenøs</w:t>
      </w:r>
      <w:proofErr w:type="spellEnd"/>
      <w:r w:rsidRPr="00677C6A">
        <w:t xml:space="preserve"> </w:t>
      </w:r>
      <w:proofErr w:type="spellStart"/>
      <w:r w:rsidRPr="00677C6A">
        <w:t>behandling</w:t>
      </w:r>
      <w:proofErr w:type="spellEnd"/>
      <w:r w:rsidRPr="00677C6A">
        <w:t xml:space="preserve"> med </w:t>
      </w:r>
      <w:proofErr w:type="spellStart"/>
      <w:r w:rsidRPr="00677C6A">
        <w:t>ufraktioneret</w:t>
      </w:r>
      <w:proofErr w:type="spellEnd"/>
      <w:r w:rsidRPr="00677C6A">
        <w:t xml:space="preserve"> </w:t>
      </w:r>
      <w:proofErr w:type="spellStart"/>
      <w:r w:rsidRPr="00677C6A">
        <w:t>heparin</w:t>
      </w:r>
      <w:proofErr w:type="spellEnd"/>
      <w:r w:rsidRPr="00677C6A">
        <w:t xml:space="preserve"> [UFH]) </w:t>
      </w:r>
      <w:proofErr w:type="spellStart"/>
      <w:r w:rsidRPr="00677C6A">
        <w:t>på</w:t>
      </w:r>
      <w:proofErr w:type="spellEnd"/>
      <w:r w:rsidRPr="00677C6A">
        <w:t xml:space="preserve"> </w:t>
      </w:r>
      <w:proofErr w:type="spellStart"/>
      <w:r w:rsidRPr="00677C6A">
        <w:t>seponeringstidspunktet</w:t>
      </w:r>
      <w:proofErr w:type="spellEnd"/>
      <w:r w:rsidRPr="00677C6A">
        <w:t>.</w:t>
      </w:r>
    </w:p>
    <w:p w14:paraId="0CF6763B" w14:textId="77777777" w:rsidR="008659B7" w:rsidRPr="008A21E8" w:rsidRDefault="008659B7" w:rsidP="008659B7">
      <w:pPr>
        <w:rPr>
          <w:lang w:val="da-DK"/>
        </w:rPr>
      </w:pPr>
    </w:p>
    <w:p w14:paraId="772E403C" w14:textId="0B0A50E0" w:rsidR="008659B7" w:rsidRPr="008A21E8" w:rsidRDefault="008659B7" w:rsidP="008659B7">
      <w:pPr>
        <w:rPr>
          <w:i/>
          <w:iCs/>
          <w:lang w:val="da-DK"/>
        </w:rPr>
      </w:pPr>
      <w:proofErr w:type="spellStart"/>
      <w:r w:rsidRPr="00677C6A">
        <w:rPr>
          <w:i/>
          <w:iCs/>
        </w:rPr>
        <w:t>Fra</w:t>
      </w:r>
      <w:proofErr w:type="spellEnd"/>
      <w:r w:rsidRPr="00677C6A">
        <w:rPr>
          <w:i/>
          <w:iCs/>
        </w:rPr>
        <w:t xml:space="preserve"> </w:t>
      </w:r>
      <w:proofErr w:type="spellStart"/>
      <w:r w:rsidRPr="00677C6A">
        <w:rPr>
          <w:i/>
          <w:iCs/>
        </w:rPr>
        <w:t>dabigatranetexilat</w:t>
      </w:r>
      <w:proofErr w:type="spellEnd"/>
      <w:r w:rsidRPr="00677C6A">
        <w:rPr>
          <w:i/>
          <w:iCs/>
        </w:rPr>
        <w:t xml:space="preserve"> </w:t>
      </w:r>
      <w:proofErr w:type="spellStart"/>
      <w:r w:rsidRPr="00677C6A">
        <w:rPr>
          <w:i/>
          <w:iCs/>
        </w:rPr>
        <w:t>til</w:t>
      </w:r>
      <w:proofErr w:type="spellEnd"/>
      <w:r w:rsidRPr="00677C6A">
        <w:rPr>
          <w:i/>
          <w:iCs/>
        </w:rPr>
        <w:t xml:space="preserve"> </w:t>
      </w:r>
      <w:proofErr w:type="spellStart"/>
      <w:r w:rsidRPr="00677C6A">
        <w:rPr>
          <w:i/>
          <w:iCs/>
        </w:rPr>
        <w:t>vitamin</w:t>
      </w:r>
      <w:proofErr w:type="spellEnd"/>
      <w:r w:rsidRPr="00677C6A">
        <w:rPr>
          <w:i/>
          <w:iCs/>
        </w:rPr>
        <w:t xml:space="preserve"> K-</w:t>
      </w:r>
      <w:proofErr w:type="spellStart"/>
      <w:r w:rsidRPr="00677C6A">
        <w:rPr>
          <w:i/>
          <w:iCs/>
        </w:rPr>
        <w:t>antagonister</w:t>
      </w:r>
      <w:proofErr w:type="spellEnd"/>
      <w:r w:rsidRPr="00677C6A">
        <w:rPr>
          <w:i/>
          <w:iCs/>
        </w:rPr>
        <w:t xml:space="preserve"> (VKA)</w:t>
      </w:r>
    </w:p>
    <w:p w14:paraId="68E2DB16" w14:textId="3E9AB2FC" w:rsidR="00784274" w:rsidRPr="008A21E8" w:rsidRDefault="00784274" w:rsidP="00784274">
      <w:pPr>
        <w:rPr>
          <w:lang w:val="da-DK"/>
        </w:rPr>
      </w:pPr>
      <w:proofErr w:type="spellStart"/>
      <w:r w:rsidRPr="00677C6A">
        <w:t>Behandling</w:t>
      </w:r>
      <w:proofErr w:type="spellEnd"/>
      <w:r w:rsidRPr="00677C6A">
        <w:t xml:space="preserve"> med VKA </w:t>
      </w:r>
      <w:proofErr w:type="spellStart"/>
      <w:r w:rsidRPr="00677C6A">
        <w:t>bør</w:t>
      </w:r>
      <w:proofErr w:type="spellEnd"/>
      <w:r w:rsidRPr="00677C6A">
        <w:t xml:space="preserve"> </w:t>
      </w:r>
      <w:proofErr w:type="spellStart"/>
      <w:r w:rsidRPr="00677C6A">
        <w:t>påbegyndes</w:t>
      </w:r>
      <w:proofErr w:type="spellEnd"/>
      <w:r w:rsidRPr="00677C6A">
        <w:t xml:space="preserve"> 3 </w:t>
      </w:r>
      <w:proofErr w:type="spellStart"/>
      <w:r w:rsidRPr="00677C6A">
        <w:t>dage</w:t>
      </w:r>
      <w:proofErr w:type="spellEnd"/>
      <w:r w:rsidRPr="00677C6A">
        <w:t xml:space="preserve"> </w:t>
      </w:r>
      <w:proofErr w:type="spellStart"/>
      <w:r w:rsidRPr="00677C6A">
        <w:t>før</w:t>
      </w:r>
      <w:proofErr w:type="spellEnd"/>
      <w:r w:rsidRPr="00677C6A">
        <w:t xml:space="preserve"> seponering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dabigatranetexilat</w:t>
      </w:r>
      <w:proofErr w:type="spellEnd"/>
      <w:r w:rsidRPr="00677C6A">
        <w:t>.</w:t>
      </w:r>
    </w:p>
    <w:p w14:paraId="1330B01A" w14:textId="575F53B3" w:rsidR="00784274" w:rsidRPr="008A21E8" w:rsidRDefault="00784274" w:rsidP="00784274">
      <w:pPr>
        <w:rPr>
          <w:lang w:val="da-DK"/>
        </w:rPr>
      </w:pPr>
      <w:r w:rsidRPr="00677C6A">
        <w:t xml:space="preserve">Da </w:t>
      </w:r>
      <w:proofErr w:type="spellStart"/>
      <w:r w:rsidRPr="00677C6A">
        <w:t>dabigatranetexilat</w:t>
      </w:r>
      <w:proofErr w:type="spellEnd"/>
      <w:r w:rsidRPr="00677C6A">
        <w:t xml:space="preserve"> </w:t>
      </w:r>
      <w:proofErr w:type="spellStart"/>
      <w:r w:rsidRPr="00677C6A">
        <w:t>kan</w:t>
      </w:r>
      <w:proofErr w:type="spellEnd"/>
      <w:r w:rsidRPr="00677C6A">
        <w:t xml:space="preserve"> </w:t>
      </w:r>
      <w:proofErr w:type="spellStart"/>
      <w:r w:rsidRPr="00677C6A">
        <w:t>påvirke</w:t>
      </w:r>
      <w:proofErr w:type="spellEnd"/>
      <w:r w:rsidRPr="00677C6A">
        <w:t xml:space="preserve"> INR-</w:t>
      </w:r>
      <w:proofErr w:type="spellStart"/>
      <w:r w:rsidRPr="00677C6A">
        <w:t>værdierne</w:t>
      </w:r>
      <w:proofErr w:type="spellEnd"/>
      <w:r w:rsidRPr="00677C6A">
        <w:t xml:space="preserve"> (International </w:t>
      </w:r>
      <w:proofErr w:type="spellStart"/>
      <w:r w:rsidRPr="00677C6A">
        <w:t>Normalised</w:t>
      </w:r>
      <w:proofErr w:type="spellEnd"/>
      <w:r w:rsidRPr="00677C6A">
        <w:t xml:space="preserve"> Ratio), er </w:t>
      </w:r>
      <w:proofErr w:type="spellStart"/>
      <w:r w:rsidRPr="00677C6A">
        <w:t>effekten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vitamin</w:t>
      </w:r>
      <w:proofErr w:type="spellEnd"/>
      <w:r w:rsidRPr="00677C6A">
        <w:t xml:space="preserve"> K-antagonisten i INR-testen </w:t>
      </w:r>
      <w:proofErr w:type="spellStart"/>
      <w:r w:rsidRPr="00677C6A">
        <w:t>tidligst</w:t>
      </w:r>
      <w:proofErr w:type="spellEnd"/>
      <w:r w:rsidRPr="00677C6A">
        <w:t xml:space="preserve"> </w:t>
      </w:r>
      <w:proofErr w:type="spellStart"/>
      <w:r w:rsidRPr="00677C6A">
        <w:t>tydelig</w:t>
      </w:r>
      <w:proofErr w:type="spellEnd"/>
      <w:r w:rsidRPr="00677C6A">
        <w:t xml:space="preserve"> </w:t>
      </w:r>
      <w:proofErr w:type="spellStart"/>
      <w:r w:rsidRPr="00677C6A">
        <w:t>to</w:t>
      </w:r>
      <w:proofErr w:type="spellEnd"/>
      <w:r w:rsidRPr="00677C6A">
        <w:t xml:space="preserve"> </w:t>
      </w:r>
      <w:proofErr w:type="spellStart"/>
      <w:r w:rsidRPr="00677C6A">
        <w:t>dage</w:t>
      </w:r>
      <w:proofErr w:type="spellEnd"/>
      <w:r w:rsidRPr="00677C6A">
        <w:t xml:space="preserve"> </w:t>
      </w:r>
      <w:proofErr w:type="spellStart"/>
      <w:r w:rsidRPr="00677C6A">
        <w:t>efter</w:t>
      </w:r>
      <w:proofErr w:type="spellEnd"/>
      <w:r w:rsidRPr="00677C6A">
        <w:t xml:space="preserve"> seponering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dabigatranetexilatbehandlingen</w:t>
      </w:r>
      <w:proofErr w:type="spellEnd"/>
      <w:r w:rsidRPr="00677C6A">
        <w:t xml:space="preserve">. </w:t>
      </w:r>
      <w:proofErr w:type="spellStart"/>
      <w:r w:rsidRPr="00677C6A">
        <w:t>Indtil</w:t>
      </w:r>
      <w:proofErr w:type="spellEnd"/>
      <w:r w:rsidRPr="00677C6A">
        <w:t xml:space="preserve"> da </w:t>
      </w:r>
      <w:proofErr w:type="spellStart"/>
      <w:r w:rsidRPr="00677C6A">
        <w:t>skal</w:t>
      </w:r>
      <w:proofErr w:type="spellEnd"/>
      <w:r w:rsidRPr="00677C6A">
        <w:t xml:space="preserve"> INR-</w:t>
      </w:r>
      <w:proofErr w:type="spellStart"/>
      <w:r w:rsidRPr="00677C6A">
        <w:t>værdier</w:t>
      </w:r>
      <w:proofErr w:type="spellEnd"/>
      <w:r w:rsidRPr="00677C6A">
        <w:t xml:space="preserve"> </w:t>
      </w:r>
      <w:proofErr w:type="spellStart"/>
      <w:r w:rsidRPr="00677C6A">
        <w:t>fortolkes</w:t>
      </w:r>
      <w:proofErr w:type="spellEnd"/>
      <w:r w:rsidRPr="00677C6A">
        <w:t xml:space="preserve"> med </w:t>
      </w:r>
      <w:proofErr w:type="spellStart"/>
      <w:r w:rsidRPr="00677C6A">
        <w:t>forsigtighed</w:t>
      </w:r>
      <w:proofErr w:type="spellEnd"/>
      <w:r w:rsidRPr="00677C6A">
        <w:t>.</w:t>
      </w:r>
    </w:p>
    <w:p w14:paraId="4DE09E5A" w14:textId="77777777" w:rsidR="00784274" w:rsidRPr="008A21E8" w:rsidRDefault="00784274" w:rsidP="00784274">
      <w:pPr>
        <w:rPr>
          <w:lang w:val="da-DK"/>
        </w:rPr>
      </w:pPr>
    </w:p>
    <w:p w14:paraId="3D27B26B" w14:textId="24586B33" w:rsidR="00784274" w:rsidRPr="008A21E8" w:rsidRDefault="00784274" w:rsidP="00784274">
      <w:pPr>
        <w:rPr>
          <w:i/>
          <w:iCs/>
          <w:lang w:val="da-DK"/>
        </w:rPr>
      </w:pPr>
      <w:proofErr w:type="spellStart"/>
      <w:r w:rsidRPr="00677C6A">
        <w:rPr>
          <w:i/>
          <w:iCs/>
        </w:rPr>
        <w:t>Fra</w:t>
      </w:r>
      <w:proofErr w:type="spellEnd"/>
      <w:r w:rsidRPr="00677C6A">
        <w:rPr>
          <w:i/>
          <w:iCs/>
        </w:rPr>
        <w:t xml:space="preserve"> VKA </w:t>
      </w:r>
      <w:proofErr w:type="spellStart"/>
      <w:r w:rsidRPr="00677C6A">
        <w:rPr>
          <w:i/>
          <w:iCs/>
        </w:rPr>
        <w:t>til</w:t>
      </w:r>
      <w:proofErr w:type="spellEnd"/>
      <w:r w:rsidRPr="00677C6A">
        <w:rPr>
          <w:i/>
          <w:iCs/>
        </w:rPr>
        <w:t xml:space="preserve"> </w:t>
      </w:r>
      <w:proofErr w:type="spellStart"/>
      <w:r w:rsidR="00FE5A79">
        <w:rPr>
          <w:i/>
          <w:iCs/>
        </w:rPr>
        <w:t>D</w:t>
      </w:r>
      <w:r w:rsidR="00FE5A79" w:rsidRPr="00FE5A79">
        <w:rPr>
          <w:i/>
          <w:iCs/>
        </w:rPr>
        <w:t>abigatranetexilat</w:t>
      </w:r>
      <w:proofErr w:type="spellEnd"/>
    </w:p>
    <w:p w14:paraId="59B2CBF3" w14:textId="5256C658" w:rsidR="00784274" w:rsidRPr="008A21E8" w:rsidRDefault="00784274" w:rsidP="00784274">
      <w:pPr>
        <w:rPr>
          <w:lang w:val="da-DK"/>
        </w:rPr>
      </w:pPr>
      <w:proofErr w:type="spellStart"/>
      <w:r w:rsidRPr="00677C6A">
        <w:t>Behandling</w:t>
      </w:r>
      <w:proofErr w:type="spellEnd"/>
      <w:r w:rsidRPr="00677C6A">
        <w:t xml:space="preserve"> med VKA </w:t>
      </w:r>
      <w:proofErr w:type="spellStart"/>
      <w:r w:rsidRPr="00677C6A">
        <w:t>bør</w:t>
      </w:r>
      <w:proofErr w:type="spellEnd"/>
      <w:r w:rsidRPr="00677C6A">
        <w:t xml:space="preserve"> </w:t>
      </w:r>
      <w:proofErr w:type="spellStart"/>
      <w:r w:rsidRPr="00677C6A">
        <w:t>seponeres</w:t>
      </w:r>
      <w:proofErr w:type="spellEnd"/>
      <w:r w:rsidRPr="00677C6A">
        <w:t xml:space="preserve">. </w:t>
      </w:r>
      <w:proofErr w:type="spellStart"/>
      <w:r w:rsidRPr="00677C6A">
        <w:t>Dabigatranetexilat</w:t>
      </w:r>
      <w:proofErr w:type="spellEnd"/>
      <w:r w:rsidRPr="00677C6A">
        <w:t xml:space="preserve"> </w:t>
      </w:r>
      <w:proofErr w:type="spellStart"/>
      <w:r w:rsidRPr="00677C6A">
        <w:t>kan</w:t>
      </w:r>
      <w:proofErr w:type="spellEnd"/>
      <w:r w:rsidRPr="00677C6A">
        <w:t xml:space="preserve"> </w:t>
      </w:r>
      <w:proofErr w:type="spellStart"/>
      <w:r w:rsidRPr="00677C6A">
        <w:t>anvendes</w:t>
      </w:r>
      <w:proofErr w:type="spellEnd"/>
      <w:r w:rsidRPr="00677C6A">
        <w:t xml:space="preserve">, </w:t>
      </w:r>
      <w:proofErr w:type="spellStart"/>
      <w:r w:rsidRPr="00677C6A">
        <w:t>så</w:t>
      </w:r>
      <w:proofErr w:type="spellEnd"/>
      <w:r w:rsidRPr="00677C6A">
        <w:t xml:space="preserve"> </w:t>
      </w:r>
      <w:proofErr w:type="spellStart"/>
      <w:r w:rsidRPr="00677C6A">
        <w:t>snart</w:t>
      </w:r>
      <w:proofErr w:type="spellEnd"/>
      <w:r w:rsidRPr="00677C6A">
        <w:t xml:space="preserve"> INR-</w:t>
      </w:r>
      <w:proofErr w:type="spellStart"/>
      <w:r w:rsidRPr="00677C6A">
        <w:t>værdien</w:t>
      </w:r>
      <w:proofErr w:type="spellEnd"/>
      <w:r w:rsidRPr="00677C6A">
        <w:t xml:space="preserve"> er &lt; 2,0.</w:t>
      </w:r>
    </w:p>
    <w:p w14:paraId="44DE687D" w14:textId="77777777" w:rsidR="00784274" w:rsidRPr="008A21E8" w:rsidRDefault="00784274" w:rsidP="008659B7">
      <w:pPr>
        <w:rPr>
          <w:i/>
          <w:iCs/>
          <w:lang w:val="da-DK"/>
        </w:rPr>
      </w:pPr>
    </w:p>
    <w:p w14:paraId="0A30FBF3" w14:textId="66040FC8" w:rsidR="008659B7" w:rsidRPr="008A21E8" w:rsidRDefault="008659B7" w:rsidP="008659B7">
      <w:pPr>
        <w:rPr>
          <w:b/>
          <w:bCs/>
          <w:lang w:val="da-DK"/>
        </w:rPr>
      </w:pPr>
      <w:proofErr w:type="spellStart"/>
      <w:r w:rsidRPr="00677C6A">
        <w:rPr>
          <w:b/>
          <w:bCs/>
        </w:rPr>
        <w:lastRenderedPageBreak/>
        <w:t>Indgivelsesmåde</w:t>
      </w:r>
      <w:proofErr w:type="spellEnd"/>
    </w:p>
    <w:p w14:paraId="6D1E35A7" w14:textId="4848F9D2" w:rsidR="00410892" w:rsidRPr="008A21E8" w:rsidRDefault="00410892" w:rsidP="008659B7">
      <w:pPr>
        <w:rPr>
          <w:lang w:val="da-DK"/>
        </w:rPr>
      </w:pPr>
      <w:proofErr w:type="spellStart"/>
      <w:r w:rsidRPr="00677C6A">
        <w:rPr>
          <w:b/>
        </w:rPr>
        <w:t>Dabigatranetexilat</w:t>
      </w:r>
      <w:proofErr w:type="spellEnd"/>
      <w:r w:rsidRPr="00677C6A">
        <w:rPr>
          <w:b/>
        </w:rPr>
        <w:t xml:space="preserve"> 75 mg, 110 mg, 150 mg </w:t>
      </w:r>
      <w:proofErr w:type="spellStart"/>
      <w:r w:rsidRPr="00677C6A">
        <w:rPr>
          <w:b/>
        </w:rPr>
        <w:t>kapsler</w:t>
      </w:r>
      <w:proofErr w:type="spellEnd"/>
    </w:p>
    <w:p w14:paraId="143E567F" w14:textId="4B6497BE" w:rsidR="008659B7" w:rsidRPr="008A21E8" w:rsidRDefault="00B23689" w:rsidP="008659B7">
      <w:pPr>
        <w:rPr>
          <w:lang w:val="da-DK"/>
        </w:rPr>
      </w:pPr>
      <w:proofErr w:type="spellStart"/>
      <w:r w:rsidRPr="00677C6A">
        <w:t>Dabigatranetexilat</w:t>
      </w:r>
      <w:proofErr w:type="spellEnd"/>
      <w:r w:rsidRPr="00677C6A">
        <w:t xml:space="preserve"> </w:t>
      </w:r>
      <w:proofErr w:type="spellStart"/>
      <w:r w:rsidRPr="00677C6A">
        <w:t>kapsler</w:t>
      </w:r>
      <w:proofErr w:type="spellEnd"/>
      <w:r w:rsidRPr="00677C6A">
        <w:t xml:space="preserve"> er beregnet </w:t>
      </w:r>
      <w:proofErr w:type="spellStart"/>
      <w:r w:rsidRPr="00677C6A">
        <w:t>til</w:t>
      </w:r>
      <w:proofErr w:type="spellEnd"/>
      <w:r w:rsidRPr="00677C6A">
        <w:t xml:space="preserve"> oral </w:t>
      </w:r>
      <w:proofErr w:type="spellStart"/>
      <w:r w:rsidRPr="00677C6A">
        <w:t>brug</w:t>
      </w:r>
      <w:proofErr w:type="spellEnd"/>
      <w:r w:rsidRPr="00677C6A">
        <w:t>.</w:t>
      </w:r>
    </w:p>
    <w:p w14:paraId="368908F9" w14:textId="577C87E9" w:rsidR="008659B7" w:rsidRPr="008A21E8" w:rsidRDefault="00667F69" w:rsidP="008659B7">
      <w:pPr>
        <w:rPr>
          <w:lang w:val="da-DK"/>
        </w:rPr>
      </w:pPr>
      <w:r w:rsidRPr="00677C6A">
        <w:t xml:space="preserve">• </w:t>
      </w:r>
      <w:proofErr w:type="spellStart"/>
      <w:r w:rsidRPr="00677C6A">
        <w:t>Kapsler</w:t>
      </w:r>
      <w:proofErr w:type="spellEnd"/>
      <w:r w:rsidRPr="00677C6A">
        <w:t xml:space="preserve"> </w:t>
      </w:r>
      <w:proofErr w:type="spellStart"/>
      <w:r w:rsidRPr="00677C6A">
        <w:t>kan</w:t>
      </w:r>
      <w:proofErr w:type="spellEnd"/>
      <w:r w:rsidRPr="00677C6A">
        <w:t xml:space="preserve"> </w:t>
      </w:r>
      <w:proofErr w:type="spellStart"/>
      <w:r w:rsidRPr="00677C6A">
        <w:t>tages</w:t>
      </w:r>
      <w:proofErr w:type="spellEnd"/>
      <w:r w:rsidRPr="00677C6A">
        <w:t xml:space="preserve"> med </w:t>
      </w:r>
      <w:proofErr w:type="spellStart"/>
      <w:r w:rsidRPr="00677C6A">
        <w:t>eller</w:t>
      </w:r>
      <w:proofErr w:type="spellEnd"/>
      <w:r w:rsidRPr="00677C6A">
        <w:t xml:space="preserve"> </w:t>
      </w:r>
      <w:proofErr w:type="spellStart"/>
      <w:r w:rsidRPr="00677C6A">
        <w:t>uden</w:t>
      </w:r>
      <w:proofErr w:type="spellEnd"/>
      <w:r w:rsidRPr="00677C6A">
        <w:t xml:space="preserve"> </w:t>
      </w:r>
      <w:proofErr w:type="spellStart"/>
      <w:r w:rsidRPr="00677C6A">
        <w:t>måltider</w:t>
      </w:r>
      <w:proofErr w:type="spellEnd"/>
      <w:r w:rsidRPr="00677C6A">
        <w:t xml:space="preserve">. </w:t>
      </w:r>
      <w:proofErr w:type="spellStart"/>
      <w:r w:rsidRPr="00677C6A">
        <w:t>Dabigatranetexilat</w:t>
      </w:r>
      <w:proofErr w:type="spellEnd"/>
      <w:r w:rsidRPr="00677C6A">
        <w:t xml:space="preserve"> </w:t>
      </w:r>
      <w:proofErr w:type="spellStart"/>
      <w:r w:rsidR="00630FCC">
        <w:t>kapslen</w:t>
      </w:r>
      <w:proofErr w:type="spellEnd"/>
      <w:r w:rsidR="00630FCC">
        <w:t xml:space="preserve"> </w:t>
      </w:r>
      <w:proofErr w:type="spellStart"/>
      <w:r w:rsidRPr="00677C6A">
        <w:t>skal</w:t>
      </w:r>
      <w:proofErr w:type="spellEnd"/>
      <w:r w:rsidRPr="00677C6A">
        <w:t xml:space="preserve"> </w:t>
      </w:r>
      <w:proofErr w:type="spellStart"/>
      <w:r w:rsidRPr="00677C6A">
        <w:t>synkes</w:t>
      </w:r>
      <w:proofErr w:type="spellEnd"/>
      <w:r w:rsidRPr="00677C6A">
        <w:t xml:space="preserve"> </w:t>
      </w:r>
      <w:proofErr w:type="spellStart"/>
      <w:r w:rsidRPr="00677C6A">
        <w:t>hel</w:t>
      </w:r>
      <w:proofErr w:type="spellEnd"/>
      <w:r w:rsidRPr="00677C6A">
        <w:t xml:space="preserve"> med et </w:t>
      </w:r>
      <w:proofErr w:type="spellStart"/>
      <w:r w:rsidRPr="00677C6A">
        <w:t>glas</w:t>
      </w:r>
      <w:proofErr w:type="spellEnd"/>
      <w:r w:rsidRPr="00677C6A">
        <w:t xml:space="preserve"> </w:t>
      </w:r>
      <w:proofErr w:type="spellStart"/>
      <w:r w:rsidRPr="00677C6A">
        <w:t>vand</w:t>
      </w:r>
      <w:proofErr w:type="spellEnd"/>
      <w:r w:rsidRPr="00677C6A">
        <w:t xml:space="preserve"> </w:t>
      </w:r>
      <w:proofErr w:type="spellStart"/>
      <w:r w:rsidRPr="00677C6A">
        <w:t>for</w:t>
      </w:r>
      <w:proofErr w:type="spellEnd"/>
      <w:r w:rsidRPr="00677C6A">
        <w:t xml:space="preserve"> at </w:t>
      </w:r>
      <w:proofErr w:type="spellStart"/>
      <w:r w:rsidR="00630FCC">
        <w:t>lette</w:t>
      </w:r>
      <w:proofErr w:type="spellEnd"/>
      <w:r w:rsidR="00630FCC">
        <w:t xml:space="preserve"> </w:t>
      </w:r>
      <w:proofErr w:type="spellStart"/>
      <w:r w:rsidR="00630FCC">
        <w:t>passagen</w:t>
      </w:r>
      <w:proofErr w:type="spellEnd"/>
      <w:r w:rsidRPr="00677C6A">
        <w:t xml:space="preserve"> </w:t>
      </w:r>
      <w:proofErr w:type="spellStart"/>
      <w:r w:rsidRPr="00677C6A">
        <w:t>til</w:t>
      </w:r>
      <w:proofErr w:type="spellEnd"/>
      <w:r w:rsidRPr="00677C6A">
        <w:t xml:space="preserve"> </w:t>
      </w:r>
      <w:proofErr w:type="spellStart"/>
      <w:r w:rsidRPr="00677C6A">
        <w:t>maven</w:t>
      </w:r>
      <w:proofErr w:type="spellEnd"/>
      <w:r w:rsidRPr="00677C6A">
        <w:t>.</w:t>
      </w:r>
    </w:p>
    <w:p w14:paraId="422A1332" w14:textId="3BA98E6C" w:rsidR="008659B7" w:rsidRPr="008A21E8" w:rsidRDefault="00667F69" w:rsidP="008659B7">
      <w:pPr>
        <w:rPr>
          <w:lang w:val="da-DK"/>
        </w:rPr>
      </w:pPr>
      <w:r w:rsidRPr="00677C6A">
        <w:t xml:space="preserve">• Du </w:t>
      </w:r>
      <w:proofErr w:type="spellStart"/>
      <w:r w:rsidRPr="00677C6A">
        <w:t>må</w:t>
      </w:r>
      <w:proofErr w:type="spellEnd"/>
      <w:r w:rsidRPr="00677C6A">
        <w:t xml:space="preserve"> </w:t>
      </w:r>
      <w:proofErr w:type="spellStart"/>
      <w:r w:rsidRPr="00677C6A">
        <w:t>ikke</w:t>
      </w:r>
      <w:proofErr w:type="spellEnd"/>
      <w:r w:rsidRPr="00677C6A">
        <w:t xml:space="preserve"> </w:t>
      </w:r>
      <w:proofErr w:type="spellStart"/>
      <w:r w:rsidRPr="00677C6A">
        <w:t>knække</w:t>
      </w:r>
      <w:proofErr w:type="spellEnd"/>
      <w:r w:rsidRPr="00677C6A">
        <w:t xml:space="preserve"> </w:t>
      </w:r>
      <w:proofErr w:type="spellStart"/>
      <w:r w:rsidRPr="00677C6A">
        <w:t>eller</w:t>
      </w:r>
      <w:proofErr w:type="spellEnd"/>
      <w:r w:rsidRPr="00677C6A">
        <w:t xml:space="preserve"> </w:t>
      </w:r>
      <w:proofErr w:type="spellStart"/>
      <w:r w:rsidRPr="00677C6A">
        <w:t>tygge</w:t>
      </w:r>
      <w:proofErr w:type="spellEnd"/>
      <w:r w:rsidRPr="00677C6A">
        <w:t xml:space="preserve"> </w:t>
      </w:r>
      <w:proofErr w:type="spellStart"/>
      <w:r w:rsidRPr="00677C6A">
        <w:t>kapslerne</w:t>
      </w:r>
      <w:proofErr w:type="spellEnd"/>
      <w:r w:rsidRPr="00677C6A">
        <w:t xml:space="preserve"> </w:t>
      </w:r>
      <w:proofErr w:type="spellStart"/>
      <w:r w:rsidRPr="00677C6A">
        <w:t>eller</w:t>
      </w:r>
      <w:proofErr w:type="spellEnd"/>
      <w:r w:rsidRPr="00677C6A">
        <w:t xml:space="preserve"> </w:t>
      </w:r>
      <w:proofErr w:type="spellStart"/>
      <w:r w:rsidRPr="00677C6A">
        <w:t>tømme</w:t>
      </w:r>
      <w:proofErr w:type="spellEnd"/>
      <w:r w:rsidRPr="00677C6A">
        <w:t xml:space="preserve"> </w:t>
      </w:r>
      <w:proofErr w:type="spellStart"/>
      <w:r w:rsidRPr="00677C6A">
        <w:t>kapslens</w:t>
      </w:r>
      <w:proofErr w:type="spellEnd"/>
      <w:r w:rsidRPr="00677C6A">
        <w:t xml:space="preserve"> </w:t>
      </w:r>
      <w:proofErr w:type="spellStart"/>
      <w:r w:rsidRPr="00677C6A">
        <w:t>indhold</w:t>
      </w:r>
      <w:proofErr w:type="spellEnd"/>
      <w:r w:rsidRPr="00677C6A">
        <w:t xml:space="preserve">, da </w:t>
      </w:r>
      <w:proofErr w:type="spellStart"/>
      <w:r w:rsidRPr="00677C6A">
        <w:t>dette</w:t>
      </w:r>
      <w:proofErr w:type="spellEnd"/>
      <w:r w:rsidRPr="00677C6A">
        <w:t xml:space="preserve"> </w:t>
      </w:r>
      <w:proofErr w:type="spellStart"/>
      <w:r w:rsidRPr="00677C6A">
        <w:t>kan</w:t>
      </w:r>
      <w:proofErr w:type="spellEnd"/>
      <w:r w:rsidRPr="00677C6A">
        <w:t xml:space="preserve"> </w:t>
      </w:r>
      <w:proofErr w:type="spellStart"/>
      <w:r w:rsidRPr="00677C6A">
        <w:t>øge</w:t>
      </w:r>
      <w:proofErr w:type="spellEnd"/>
      <w:r w:rsidRPr="00677C6A">
        <w:t xml:space="preserve"> </w:t>
      </w:r>
      <w:proofErr w:type="spellStart"/>
      <w:r w:rsidRPr="00677C6A">
        <w:t>risikoen</w:t>
      </w:r>
      <w:proofErr w:type="spellEnd"/>
      <w:r w:rsidRPr="00677C6A">
        <w:t xml:space="preserve"> </w:t>
      </w:r>
      <w:proofErr w:type="spellStart"/>
      <w:r w:rsidRPr="00677C6A">
        <w:t>for</w:t>
      </w:r>
      <w:proofErr w:type="spellEnd"/>
      <w:r w:rsidRPr="00677C6A">
        <w:t xml:space="preserve"> </w:t>
      </w:r>
      <w:proofErr w:type="spellStart"/>
      <w:r w:rsidRPr="00677C6A">
        <w:t>blødning</w:t>
      </w:r>
      <w:proofErr w:type="spellEnd"/>
      <w:r w:rsidRPr="00677C6A">
        <w:t>.</w:t>
      </w:r>
    </w:p>
    <w:p w14:paraId="65613E05" w14:textId="77777777" w:rsidR="00410892" w:rsidRPr="008A21E8" w:rsidRDefault="00410892" w:rsidP="008659B7">
      <w:pPr>
        <w:rPr>
          <w:lang w:val="da-DK"/>
        </w:rPr>
      </w:pPr>
    </w:p>
    <w:p w14:paraId="2431D83E" w14:textId="72C98E36" w:rsidR="008659B7" w:rsidRPr="008A21E8" w:rsidRDefault="008659B7" w:rsidP="008659B7">
      <w:pPr>
        <w:rPr>
          <w:b/>
          <w:bCs/>
          <w:sz w:val="28"/>
          <w:szCs w:val="28"/>
          <w:lang w:val="da-DK"/>
        </w:rPr>
      </w:pPr>
      <w:proofErr w:type="spellStart"/>
      <w:r w:rsidRPr="00677C6A">
        <w:rPr>
          <w:b/>
          <w:bCs/>
          <w:sz w:val="28"/>
          <w:szCs w:val="28"/>
        </w:rPr>
        <w:t>Særlige</w:t>
      </w:r>
      <w:proofErr w:type="spellEnd"/>
      <w:r w:rsidRPr="00677C6A">
        <w:rPr>
          <w:b/>
          <w:bCs/>
          <w:sz w:val="28"/>
          <w:szCs w:val="28"/>
        </w:rPr>
        <w:t xml:space="preserve"> </w:t>
      </w:r>
      <w:proofErr w:type="spellStart"/>
      <w:r w:rsidRPr="00677C6A">
        <w:rPr>
          <w:b/>
          <w:bCs/>
          <w:sz w:val="28"/>
          <w:szCs w:val="28"/>
        </w:rPr>
        <w:t>patientgrupper</w:t>
      </w:r>
      <w:proofErr w:type="spellEnd"/>
      <w:r w:rsidRPr="00677C6A">
        <w:rPr>
          <w:b/>
          <w:bCs/>
          <w:sz w:val="28"/>
          <w:szCs w:val="28"/>
        </w:rPr>
        <w:t xml:space="preserve"> med </w:t>
      </w:r>
      <w:proofErr w:type="spellStart"/>
      <w:r w:rsidRPr="00677C6A">
        <w:rPr>
          <w:b/>
          <w:bCs/>
          <w:sz w:val="28"/>
          <w:szCs w:val="28"/>
        </w:rPr>
        <w:t>potentielt</w:t>
      </w:r>
      <w:proofErr w:type="spellEnd"/>
      <w:r w:rsidRPr="00677C6A">
        <w:rPr>
          <w:b/>
          <w:bCs/>
          <w:sz w:val="28"/>
          <w:szCs w:val="28"/>
        </w:rPr>
        <w:t xml:space="preserve"> </w:t>
      </w:r>
      <w:proofErr w:type="spellStart"/>
      <w:r w:rsidRPr="00677C6A">
        <w:rPr>
          <w:b/>
          <w:bCs/>
          <w:sz w:val="28"/>
          <w:szCs w:val="28"/>
        </w:rPr>
        <w:t>øget</w:t>
      </w:r>
      <w:proofErr w:type="spellEnd"/>
      <w:r w:rsidRPr="00677C6A">
        <w:rPr>
          <w:b/>
          <w:bCs/>
          <w:sz w:val="28"/>
          <w:szCs w:val="28"/>
        </w:rPr>
        <w:t xml:space="preserve"> </w:t>
      </w:r>
      <w:proofErr w:type="spellStart"/>
      <w:r w:rsidRPr="00677C6A">
        <w:rPr>
          <w:b/>
          <w:bCs/>
          <w:sz w:val="28"/>
          <w:szCs w:val="28"/>
        </w:rPr>
        <w:t>risiko</w:t>
      </w:r>
      <w:proofErr w:type="spellEnd"/>
      <w:r w:rsidRPr="00677C6A">
        <w:rPr>
          <w:b/>
          <w:bCs/>
          <w:sz w:val="28"/>
          <w:szCs w:val="28"/>
        </w:rPr>
        <w:t xml:space="preserve"> </w:t>
      </w:r>
      <w:proofErr w:type="spellStart"/>
      <w:r w:rsidRPr="00677C6A">
        <w:rPr>
          <w:b/>
          <w:bCs/>
          <w:sz w:val="28"/>
          <w:szCs w:val="28"/>
        </w:rPr>
        <w:t>for</w:t>
      </w:r>
      <w:proofErr w:type="spellEnd"/>
      <w:r w:rsidRPr="00677C6A">
        <w:rPr>
          <w:b/>
          <w:bCs/>
          <w:sz w:val="28"/>
          <w:szCs w:val="28"/>
        </w:rPr>
        <w:t xml:space="preserve"> </w:t>
      </w:r>
      <w:proofErr w:type="spellStart"/>
      <w:r w:rsidRPr="00677C6A">
        <w:rPr>
          <w:b/>
          <w:bCs/>
          <w:sz w:val="28"/>
          <w:szCs w:val="28"/>
        </w:rPr>
        <w:t>blødning</w:t>
      </w:r>
      <w:proofErr w:type="spellEnd"/>
    </w:p>
    <w:p w14:paraId="7D28D0AD" w14:textId="40E9EF6E" w:rsidR="00B23689" w:rsidRPr="008A21E8" w:rsidRDefault="00B23689" w:rsidP="00B23689">
      <w:pPr>
        <w:rPr>
          <w:lang w:val="da-DK"/>
        </w:rPr>
      </w:pPr>
      <w:r w:rsidRPr="00677C6A">
        <w:t xml:space="preserve">Hos </w:t>
      </w:r>
      <w:proofErr w:type="spellStart"/>
      <w:r w:rsidRPr="00677C6A">
        <w:t>patienter</w:t>
      </w:r>
      <w:proofErr w:type="spellEnd"/>
      <w:r w:rsidRPr="00677C6A">
        <w:t xml:space="preserve"> med </w:t>
      </w:r>
      <w:proofErr w:type="spellStart"/>
      <w:r w:rsidRPr="00677C6A">
        <w:t>øget</w:t>
      </w:r>
      <w:proofErr w:type="spellEnd"/>
      <w:r w:rsidRPr="00677C6A">
        <w:t xml:space="preserve"> </w:t>
      </w:r>
      <w:proofErr w:type="spellStart"/>
      <w:r w:rsidRPr="00677C6A">
        <w:t>risiko</w:t>
      </w:r>
      <w:proofErr w:type="spellEnd"/>
      <w:r w:rsidRPr="00677C6A">
        <w:t xml:space="preserve"> </w:t>
      </w:r>
      <w:proofErr w:type="spellStart"/>
      <w:r w:rsidRPr="00677C6A">
        <w:t>for</w:t>
      </w:r>
      <w:proofErr w:type="spellEnd"/>
      <w:r w:rsidRPr="00677C6A">
        <w:t xml:space="preserve"> </w:t>
      </w:r>
      <w:proofErr w:type="spellStart"/>
      <w:r w:rsidRPr="00677C6A">
        <w:t>blødning</w:t>
      </w:r>
      <w:proofErr w:type="spellEnd"/>
      <w:r w:rsidRPr="00677C6A">
        <w:t xml:space="preserve"> (se </w:t>
      </w:r>
      <w:proofErr w:type="spellStart"/>
      <w:r w:rsidRPr="00677C6A">
        <w:t>tabel</w:t>
      </w:r>
      <w:proofErr w:type="spellEnd"/>
      <w:r w:rsidRPr="00677C6A">
        <w:t xml:space="preserve"> </w:t>
      </w:r>
      <w:r w:rsidR="00A21DD3">
        <w:t>2</w:t>
      </w:r>
      <w:r w:rsidRPr="00677C6A">
        <w:t xml:space="preserve">) </w:t>
      </w:r>
      <w:proofErr w:type="spellStart"/>
      <w:r w:rsidRPr="00677C6A">
        <w:t>anbefales</w:t>
      </w:r>
      <w:proofErr w:type="spellEnd"/>
      <w:r w:rsidRPr="00677C6A">
        <w:t xml:space="preserve"> </w:t>
      </w:r>
      <w:proofErr w:type="spellStart"/>
      <w:r w:rsidRPr="00677C6A">
        <w:t>tæt</w:t>
      </w:r>
      <w:proofErr w:type="spellEnd"/>
      <w:r w:rsidRPr="00677C6A">
        <w:t xml:space="preserve"> </w:t>
      </w:r>
      <w:proofErr w:type="spellStart"/>
      <w:r w:rsidRPr="00677C6A">
        <w:t>monitorering</w:t>
      </w:r>
      <w:proofErr w:type="spellEnd"/>
      <w:r w:rsidRPr="00677C6A">
        <w:t xml:space="preserve"> </w:t>
      </w:r>
      <w:proofErr w:type="spellStart"/>
      <w:r w:rsidRPr="00677C6A">
        <w:t>for</w:t>
      </w:r>
      <w:proofErr w:type="spellEnd"/>
      <w:r w:rsidRPr="00677C6A">
        <w:t xml:space="preserve"> </w:t>
      </w:r>
      <w:proofErr w:type="spellStart"/>
      <w:r w:rsidRPr="00677C6A">
        <w:t>tegn</w:t>
      </w:r>
      <w:proofErr w:type="spellEnd"/>
      <w:r w:rsidRPr="00677C6A">
        <w:t xml:space="preserve"> </w:t>
      </w:r>
      <w:proofErr w:type="spellStart"/>
      <w:r w:rsidRPr="00677C6A">
        <w:t>på</w:t>
      </w:r>
      <w:proofErr w:type="spellEnd"/>
      <w:r w:rsidRPr="00677C6A">
        <w:t xml:space="preserve"> </w:t>
      </w:r>
      <w:proofErr w:type="spellStart"/>
      <w:r w:rsidRPr="00677C6A">
        <w:t>blødning</w:t>
      </w:r>
      <w:proofErr w:type="spellEnd"/>
      <w:r w:rsidRPr="00677C6A">
        <w:t xml:space="preserve"> </w:t>
      </w:r>
      <w:proofErr w:type="spellStart"/>
      <w:r w:rsidRPr="00677C6A">
        <w:t>eller</w:t>
      </w:r>
      <w:proofErr w:type="spellEnd"/>
      <w:r w:rsidRPr="00677C6A">
        <w:t xml:space="preserve"> </w:t>
      </w:r>
      <w:proofErr w:type="spellStart"/>
      <w:r w:rsidRPr="00677C6A">
        <w:t>anæmi</w:t>
      </w:r>
      <w:proofErr w:type="spellEnd"/>
      <w:r w:rsidRPr="00677C6A">
        <w:t xml:space="preserve">, </w:t>
      </w:r>
      <w:proofErr w:type="spellStart"/>
      <w:r w:rsidRPr="00677C6A">
        <w:t>især</w:t>
      </w:r>
      <w:proofErr w:type="spellEnd"/>
      <w:r w:rsidRPr="00677C6A">
        <w:t xml:space="preserve"> </w:t>
      </w:r>
      <w:proofErr w:type="spellStart"/>
      <w:r w:rsidRPr="00677C6A">
        <w:t>når</w:t>
      </w:r>
      <w:proofErr w:type="spellEnd"/>
      <w:r w:rsidRPr="00677C6A">
        <w:t xml:space="preserve"> </w:t>
      </w:r>
      <w:r w:rsidR="00630FCC">
        <w:t xml:space="preserve">der er </w:t>
      </w:r>
      <w:proofErr w:type="spellStart"/>
      <w:r w:rsidR="00630FCC">
        <w:t>flere</w:t>
      </w:r>
      <w:proofErr w:type="spellEnd"/>
      <w:r w:rsidR="00630FCC">
        <w:t xml:space="preserve"> </w:t>
      </w:r>
      <w:proofErr w:type="spellStart"/>
      <w:r w:rsidR="00630FCC">
        <w:t>risikofaktorer</w:t>
      </w:r>
      <w:proofErr w:type="spellEnd"/>
      <w:r w:rsidRPr="00677C6A">
        <w:t xml:space="preserve">. </w:t>
      </w:r>
      <w:proofErr w:type="spellStart"/>
      <w:r w:rsidRPr="00677C6A">
        <w:t>Hvis</w:t>
      </w:r>
      <w:proofErr w:type="spellEnd"/>
      <w:r w:rsidRPr="00677C6A">
        <w:t xml:space="preserve"> der er et </w:t>
      </w:r>
      <w:proofErr w:type="spellStart"/>
      <w:r w:rsidRPr="00677C6A">
        <w:t>uforklarligt</w:t>
      </w:r>
      <w:proofErr w:type="spellEnd"/>
      <w:r w:rsidRPr="00677C6A">
        <w:t xml:space="preserve"> </w:t>
      </w:r>
      <w:proofErr w:type="spellStart"/>
      <w:r w:rsidRPr="00677C6A">
        <w:t>fald</w:t>
      </w:r>
      <w:proofErr w:type="spellEnd"/>
      <w:r w:rsidRPr="00677C6A">
        <w:t xml:space="preserve"> i </w:t>
      </w:r>
      <w:proofErr w:type="spellStart"/>
      <w:r w:rsidRPr="00677C6A">
        <w:t>hæmoglobin</w:t>
      </w:r>
      <w:proofErr w:type="spellEnd"/>
      <w:r w:rsidRPr="00677C6A">
        <w:t xml:space="preserve"> </w:t>
      </w:r>
      <w:proofErr w:type="spellStart"/>
      <w:r w:rsidRPr="00677C6A">
        <w:t>og</w:t>
      </w:r>
      <w:proofErr w:type="spellEnd"/>
      <w:r w:rsidRPr="00677C6A">
        <w:t>/</w:t>
      </w:r>
      <w:proofErr w:type="spellStart"/>
      <w:r w:rsidRPr="00677C6A">
        <w:t>eller</w:t>
      </w:r>
      <w:proofErr w:type="spellEnd"/>
      <w:r w:rsidRPr="00677C6A">
        <w:t xml:space="preserve"> </w:t>
      </w:r>
      <w:proofErr w:type="spellStart"/>
      <w:r w:rsidRPr="00677C6A">
        <w:t>hæmatokrit</w:t>
      </w:r>
      <w:proofErr w:type="spellEnd"/>
      <w:r w:rsidRPr="00677C6A">
        <w:t xml:space="preserve"> </w:t>
      </w:r>
      <w:proofErr w:type="spellStart"/>
      <w:r w:rsidRPr="00677C6A">
        <w:t>eller</w:t>
      </w:r>
      <w:proofErr w:type="spellEnd"/>
      <w:r w:rsidRPr="00677C6A">
        <w:t xml:space="preserve"> </w:t>
      </w:r>
      <w:proofErr w:type="spellStart"/>
      <w:r w:rsidRPr="00677C6A">
        <w:t>blodtryk</w:t>
      </w:r>
      <w:proofErr w:type="spellEnd"/>
      <w:r w:rsidRPr="00677C6A">
        <w:t xml:space="preserve">, </w:t>
      </w:r>
      <w:proofErr w:type="spellStart"/>
      <w:r w:rsidRPr="00677C6A">
        <w:t>skal</w:t>
      </w:r>
      <w:proofErr w:type="spellEnd"/>
      <w:r w:rsidRPr="00677C6A">
        <w:t xml:space="preserve"> </w:t>
      </w:r>
      <w:proofErr w:type="spellStart"/>
      <w:r w:rsidR="00630FCC">
        <w:t>det</w:t>
      </w:r>
      <w:proofErr w:type="spellEnd"/>
      <w:r w:rsidR="00630FCC">
        <w:t xml:space="preserve"> </w:t>
      </w:r>
      <w:proofErr w:type="spellStart"/>
      <w:r w:rsidR="00630FCC">
        <w:t>føre</w:t>
      </w:r>
      <w:proofErr w:type="spellEnd"/>
      <w:r w:rsidR="00630FCC">
        <w:t xml:space="preserve"> </w:t>
      </w:r>
      <w:proofErr w:type="spellStart"/>
      <w:r w:rsidR="00630FCC">
        <w:t>til</w:t>
      </w:r>
      <w:proofErr w:type="spellEnd"/>
      <w:r w:rsidR="00630FCC">
        <w:t xml:space="preserve"> </w:t>
      </w:r>
      <w:proofErr w:type="spellStart"/>
      <w:r w:rsidR="00630FCC">
        <w:t>udredning</w:t>
      </w:r>
      <w:proofErr w:type="spellEnd"/>
      <w:r w:rsidR="00630FCC">
        <w:t xml:space="preserve"> </w:t>
      </w:r>
      <w:proofErr w:type="spellStart"/>
      <w:r w:rsidR="00630FCC">
        <w:t>af</w:t>
      </w:r>
      <w:proofErr w:type="spellEnd"/>
      <w:r w:rsidR="00630FCC">
        <w:t xml:space="preserve"> en </w:t>
      </w:r>
      <w:proofErr w:type="spellStart"/>
      <w:r w:rsidR="00630FCC">
        <w:t>blødningskilde</w:t>
      </w:r>
      <w:proofErr w:type="spellEnd"/>
      <w:r w:rsidRPr="00677C6A">
        <w:t xml:space="preserve">. </w:t>
      </w:r>
      <w:proofErr w:type="spellStart"/>
      <w:r w:rsidRPr="00677C6A">
        <w:t>Hvis</w:t>
      </w:r>
      <w:proofErr w:type="spellEnd"/>
      <w:r w:rsidRPr="00677C6A">
        <w:t xml:space="preserve"> der </w:t>
      </w:r>
      <w:proofErr w:type="spellStart"/>
      <w:r w:rsidRPr="00677C6A">
        <w:t>opstår</w:t>
      </w:r>
      <w:proofErr w:type="spellEnd"/>
      <w:r w:rsidRPr="00677C6A">
        <w:t xml:space="preserve"> </w:t>
      </w:r>
      <w:proofErr w:type="spellStart"/>
      <w:r w:rsidRPr="00677C6A">
        <w:t>klinisk</w:t>
      </w:r>
      <w:proofErr w:type="spellEnd"/>
      <w:r w:rsidRPr="00677C6A">
        <w:t xml:space="preserve"> relevant </w:t>
      </w:r>
      <w:proofErr w:type="spellStart"/>
      <w:r w:rsidRPr="00677C6A">
        <w:t>blødning</w:t>
      </w:r>
      <w:proofErr w:type="spellEnd"/>
      <w:r w:rsidRPr="00677C6A">
        <w:t xml:space="preserve">, </w:t>
      </w:r>
      <w:proofErr w:type="spellStart"/>
      <w:r w:rsidRPr="00677C6A">
        <w:t>skal</w:t>
      </w:r>
      <w:proofErr w:type="spellEnd"/>
      <w:r w:rsidRPr="00677C6A">
        <w:t xml:space="preserve"> </w:t>
      </w:r>
      <w:proofErr w:type="spellStart"/>
      <w:r w:rsidRPr="00677C6A">
        <w:t>behandlingen</w:t>
      </w:r>
      <w:proofErr w:type="spellEnd"/>
      <w:r w:rsidRPr="00677C6A">
        <w:t xml:space="preserve"> </w:t>
      </w:r>
      <w:proofErr w:type="spellStart"/>
      <w:r w:rsidRPr="00677C6A">
        <w:t>seponeres</w:t>
      </w:r>
      <w:proofErr w:type="spellEnd"/>
      <w:r w:rsidRPr="00677C6A">
        <w:t xml:space="preserve">. </w:t>
      </w:r>
      <w:proofErr w:type="spellStart"/>
      <w:r w:rsidRPr="00677C6A">
        <w:t>For</w:t>
      </w:r>
      <w:proofErr w:type="spellEnd"/>
      <w:r w:rsidRPr="00677C6A">
        <w:t xml:space="preserve"> </w:t>
      </w:r>
      <w:proofErr w:type="spellStart"/>
      <w:r w:rsidRPr="00677C6A">
        <w:t>mere</w:t>
      </w:r>
      <w:proofErr w:type="spellEnd"/>
      <w:r w:rsidRPr="00677C6A">
        <w:t xml:space="preserve"> </w:t>
      </w:r>
      <w:proofErr w:type="spellStart"/>
      <w:r w:rsidRPr="00677C6A">
        <w:t>information</w:t>
      </w:r>
      <w:proofErr w:type="spellEnd"/>
      <w:r w:rsidRPr="00677C6A">
        <w:t xml:space="preserve">, se </w:t>
      </w:r>
      <w:proofErr w:type="spellStart"/>
      <w:r w:rsidRPr="00677C6A">
        <w:t>afsnittet</w:t>
      </w:r>
      <w:proofErr w:type="spellEnd"/>
      <w:r w:rsidRPr="00677C6A">
        <w:t xml:space="preserve"> "Koagulationstest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deres</w:t>
      </w:r>
      <w:proofErr w:type="spellEnd"/>
      <w:r w:rsidRPr="00677C6A">
        <w:t xml:space="preserve"> </w:t>
      </w:r>
      <w:proofErr w:type="spellStart"/>
      <w:r w:rsidRPr="00677C6A">
        <w:t>fortolkning</w:t>
      </w:r>
      <w:proofErr w:type="spellEnd"/>
      <w:r w:rsidRPr="00677C6A">
        <w:t>".</w:t>
      </w:r>
    </w:p>
    <w:p w14:paraId="3A831CBC" w14:textId="5BD6A6E6" w:rsidR="008C7377" w:rsidRPr="00E0658E" w:rsidRDefault="00B23689" w:rsidP="00B23689">
      <w:pPr>
        <w:rPr>
          <w:lang w:val="da-DK"/>
        </w:rPr>
      </w:pPr>
      <w:proofErr w:type="spellStart"/>
      <w:r w:rsidRPr="00677C6A">
        <w:t>Virkningen</w:t>
      </w:r>
      <w:proofErr w:type="spellEnd"/>
      <w:r w:rsidRPr="00677C6A">
        <w:t xml:space="preserve">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sikkerheden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den </w:t>
      </w:r>
      <w:proofErr w:type="spellStart"/>
      <w:r w:rsidRPr="00677C6A">
        <w:t>specifikke</w:t>
      </w:r>
      <w:proofErr w:type="spellEnd"/>
      <w:r w:rsidRPr="00677C6A">
        <w:t xml:space="preserve"> </w:t>
      </w:r>
      <w:proofErr w:type="spellStart"/>
      <w:r w:rsidRPr="00677C6A">
        <w:t>modgift</w:t>
      </w:r>
      <w:proofErr w:type="spellEnd"/>
      <w:r w:rsidRPr="00677C6A">
        <w:t xml:space="preserve"> (</w:t>
      </w:r>
      <w:proofErr w:type="spellStart"/>
      <w:r w:rsidRPr="00677C6A">
        <w:t>idarucizumab</w:t>
      </w:r>
      <w:proofErr w:type="spellEnd"/>
      <w:r w:rsidRPr="00677C6A">
        <w:t xml:space="preserve">) er </w:t>
      </w:r>
      <w:proofErr w:type="spellStart"/>
      <w:r w:rsidRPr="00677C6A">
        <w:t>ikke</w:t>
      </w:r>
      <w:proofErr w:type="spellEnd"/>
      <w:r w:rsidRPr="00677C6A">
        <w:t xml:space="preserve"> </w:t>
      </w:r>
      <w:proofErr w:type="spellStart"/>
      <w:r w:rsidRPr="00677C6A">
        <w:t>klarlagt</w:t>
      </w:r>
      <w:proofErr w:type="spellEnd"/>
      <w:r w:rsidRPr="00677C6A">
        <w:t xml:space="preserve"> </w:t>
      </w:r>
      <w:proofErr w:type="spellStart"/>
      <w:r w:rsidRPr="00677C6A">
        <w:t>hos</w:t>
      </w:r>
      <w:proofErr w:type="spellEnd"/>
      <w:r w:rsidRPr="00677C6A">
        <w:t xml:space="preserve"> </w:t>
      </w:r>
      <w:proofErr w:type="spellStart"/>
      <w:r w:rsidRPr="00677C6A">
        <w:t>børn</w:t>
      </w:r>
      <w:proofErr w:type="spellEnd"/>
      <w:r w:rsidRPr="00677C6A">
        <w:t xml:space="preserve">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unge</w:t>
      </w:r>
      <w:proofErr w:type="spellEnd"/>
      <w:r w:rsidRPr="00677C6A">
        <w:t xml:space="preserve">. Dabigatran </w:t>
      </w:r>
      <w:proofErr w:type="spellStart"/>
      <w:r w:rsidRPr="00677C6A">
        <w:t>kan</w:t>
      </w:r>
      <w:proofErr w:type="spellEnd"/>
      <w:r w:rsidRPr="00677C6A">
        <w:t xml:space="preserve"> </w:t>
      </w:r>
      <w:proofErr w:type="spellStart"/>
      <w:r w:rsidRPr="00677C6A">
        <w:t>elimineres</w:t>
      </w:r>
      <w:proofErr w:type="spellEnd"/>
      <w:r w:rsidRPr="00677C6A">
        <w:t xml:space="preserve"> </w:t>
      </w:r>
      <w:proofErr w:type="spellStart"/>
      <w:r w:rsidRPr="00677C6A">
        <w:t>ved</w:t>
      </w:r>
      <w:proofErr w:type="spellEnd"/>
      <w:r w:rsidRPr="00677C6A">
        <w:t xml:space="preserve"> </w:t>
      </w:r>
      <w:proofErr w:type="spellStart"/>
      <w:r w:rsidRPr="00677C6A">
        <w:t>hæmodialyse</w:t>
      </w:r>
      <w:proofErr w:type="spellEnd"/>
      <w:r w:rsidRPr="00677C6A">
        <w:t>.</w:t>
      </w:r>
    </w:p>
    <w:p w14:paraId="46531AC0" w14:textId="2863B545" w:rsidR="008659B7" w:rsidRPr="008A21E8" w:rsidRDefault="008C7377" w:rsidP="008C7377">
      <w:pPr>
        <w:rPr>
          <w:b/>
          <w:bCs/>
          <w:lang w:val="da-DK"/>
        </w:rPr>
      </w:pPr>
      <w:proofErr w:type="spellStart"/>
      <w:r w:rsidRPr="00677C6A">
        <w:rPr>
          <w:b/>
          <w:bCs/>
        </w:rPr>
        <w:t>Tabel</w:t>
      </w:r>
      <w:proofErr w:type="spellEnd"/>
      <w:r w:rsidRPr="00677C6A">
        <w:rPr>
          <w:b/>
          <w:bCs/>
        </w:rPr>
        <w:t xml:space="preserve"> </w:t>
      </w:r>
      <w:r w:rsidR="00A21DD3">
        <w:rPr>
          <w:b/>
          <w:bCs/>
        </w:rPr>
        <w:t>2</w:t>
      </w:r>
      <w:r w:rsidRPr="00677C6A">
        <w:rPr>
          <w:b/>
          <w:bCs/>
        </w:rPr>
        <w:t xml:space="preserve">: </w:t>
      </w:r>
      <w:proofErr w:type="spellStart"/>
      <w:r w:rsidRPr="00677C6A">
        <w:rPr>
          <w:b/>
          <w:bCs/>
        </w:rPr>
        <w:t>Faktorer</w:t>
      </w:r>
      <w:proofErr w:type="spellEnd"/>
      <w:r w:rsidRPr="00677C6A">
        <w:rPr>
          <w:b/>
          <w:bCs/>
        </w:rPr>
        <w:t xml:space="preserve">, der </w:t>
      </w:r>
      <w:proofErr w:type="spellStart"/>
      <w:r w:rsidRPr="00677C6A">
        <w:rPr>
          <w:b/>
          <w:bCs/>
        </w:rPr>
        <w:t>kan</w:t>
      </w:r>
      <w:proofErr w:type="spellEnd"/>
      <w:r w:rsidRPr="00677C6A">
        <w:rPr>
          <w:b/>
          <w:bCs/>
        </w:rPr>
        <w:t xml:space="preserve"> </w:t>
      </w:r>
      <w:proofErr w:type="spellStart"/>
      <w:r w:rsidRPr="00677C6A">
        <w:rPr>
          <w:b/>
          <w:bCs/>
        </w:rPr>
        <w:t>øge</w:t>
      </w:r>
      <w:proofErr w:type="spellEnd"/>
      <w:r w:rsidRPr="00677C6A">
        <w:rPr>
          <w:b/>
          <w:bCs/>
        </w:rPr>
        <w:t xml:space="preserve"> </w:t>
      </w:r>
      <w:proofErr w:type="spellStart"/>
      <w:r w:rsidRPr="00677C6A">
        <w:rPr>
          <w:b/>
          <w:bCs/>
        </w:rPr>
        <w:t>risikoen</w:t>
      </w:r>
      <w:proofErr w:type="spellEnd"/>
      <w:r w:rsidRPr="00677C6A">
        <w:rPr>
          <w:b/>
          <w:bCs/>
        </w:rPr>
        <w:t xml:space="preserve"> </w:t>
      </w:r>
      <w:proofErr w:type="spellStart"/>
      <w:r w:rsidRPr="00677C6A">
        <w:rPr>
          <w:b/>
          <w:bCs/>
        </w:rPr>
        <w:t>for</w:t>
      </w:r>
      <w:proofErr w:type="spellEnd"/>
      <w:r w:rsidRPr="00677C6A">
        <w:rPr>
          <w:b/>
          <w:bCs/>
        </w:rPr>
        <w:t xml:space="preserve"> </w:t>
      </w:r>
      <w:proofErr w:type="spellStart"/>
      <w:r w:rsidRPr="00677C6A">
        <w:rPr>
          <w:b/>
          <w:bCs/>
        </w:rPr>
        <w:t>blødning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4DFA" w:rsidRPr="003C1655" w14:paraId="25E1C848" w14:textId="77777777" w:rsidTr="00864DFA">
        <w:tc>
          <w:tcPr>
            <w:tcW w:w="4531" w:type="dxa"/>
          </w:tcPr>
          <w:p w14:paraId="364EC8BF" w14:textId="15F34605" w:rsidR="00864DFA" w:rsidRPr="008A21E8" w:rsidRDefault="00864DFA" w:rsidP="008C7377">
            <w:pPr>
              <w:rPr>
                <w:lang w:val="da-DK"/>
              </w:rPr>
            </w:pPr>
            <w:proofErr w:type="spellStart"/>
            <w:r w:rsidRPr="00677C6A">
              <w:t>Faktorer</w:t>
            </w:r>
            <w:proofErr w:type="spellEnd"/>
            <w:r w:rsidRPr="00677C6A">
              <w:t xml:space="preserve">, der </w:t>
            </w:r>
            <w:proofErr w:type="spellStart"/>
            <w:r w:rsidRPr="00677C6A">
              <w:t>øger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plasmaniveauerne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af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dabigatran</w:t>
            </w:r>
            <w:proofErr w:type="spellEnd"/>
          </w:p>
        </w:tc>
        <w:tc>
          <w:tcPr>
            <w:tcW w:w="4531" w:type="dxa"/>
          </w:tcPr>
          <w:p w14:paraId="4C467A1E" w14:textId="68C1D273" w:rsidR="00B23689" w:rsidRPr="008A21E8" w:rsidRDefault="00B23689" w:rsidP="00B23689">
            <w:pPr>
              <w:rPr>
                <w:lang w:val="da-DK"/>
              </w:rPr>
            </w:pPr>
            <w:r w:rsidRPr="00677C6A">
              <w:t xml:space="preserve">• </w:t>
            </w:r>
            <w:proofErr w:type="spellStart"/>
            <w:r w:rsidRPr="00677C6A">
              <w:t>Stærke</w:t>
            </w:r>
            <w:proofErr w:type="spellEnd"/>
            <w:r w:rsidRPr="00677C6A">
              <w:t xml:space="preserve"> P-</w:t>
            </w:r>
            <w:proofErr w:type="spellStart"/>
            <w:r w:rsidRPr="00677C6A">
              <w:t>glycoproteinhæmmere</w:t>
            </w:r>
            <w:proofErr w:type="spellEnd"/>
            <w:r w:rsidRPr="00677C6A">
              <w:t xml:space="preserve"> (se </w:t>
            </w:r>
            <w:proofErr w:type="spellStart"/>
            <w:r w:rsidRPr="00677C6A">
              <w:t>afsnittet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kontraindikationer</w:t>
            </w:r>
            <w:proofErr w:type="spellEnd"/>
            <w:r w:rsidRPr="00677C6A">
              <w:t>)</w:t>
            </w:r>
          </w:p>
          <w:p w14:paraId="07781C49" w14:textId="6EF2813E" w:rsidR="00864DFA" w:rsidRPr="008A21E8" w:rsidRDefault="00B23689" w:rsidP="00B23689">
            <w:pPr>
              <w:rPr>
                <w:lang w:val="da-DK"/>
              </w:rPr>
            </w:pPr>
            <w:r w:rsidRPr="00677C6A">
              <w:t xml:space="preserve">• </w:t>
            </w:r>
            <w:proofErr w:type="spellStart"/>
            <w:r w:rsidRPr="00677C6A">
              <w:t>Samtidig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behandling</w:t>
            </w:r>
            <w:proofErr w:type="spellEnd"/>
            <w:r w:rsidRPr="00677C6A">
              <w:t xml:space="preserve"> med milde </w:t>
            </w:r>
            <w:proofErr w:type="spellStart"/>
            <w:r w:rsidRPr="00677C6A">
              <w:t>til</w:t>
            </w:r>
            <w:proofErr w:type="spellEnd"/>
            <w:r w:rsidRPr="00677C6A">
              <w:t xml:space="preserve"> moderate P-</w:t>
            </w:r>
            <w:proofErr w:type="spellStart"/>
            <w:r w:rsidRPr="00677C6A">
              <w:t>glycoproteinhæmmere</w:t>
            </w:r>
            <w:proofErr w:type="spellEnd"/>
            <w:r w:rsidRPr="00677C6A">
              <w:t xml:space="preserve"> (</w:t>
            </w:r>
            <w:proofErr w:type="spellStart"/>
            <w:r w:rsidRPr="00677C6A">
              <w:t>f.eks</w:t>
            </w:r>
            <w:proofErr w:type="spellEnd"/>
            <w:r w:rsidRPr="00677C6A">
              <w:t xml:space="preserve">. </w:t>
            </w:r>
            <w:proofErr w:type="spellStart"/>
            <w:r w:rsidRPr="00677C6A">
              <w:t>amiodaron</w:t>
            </w:r>
            <w:proofErr w:type="spellEnd"/>
            <w:r w:rsidRPr="00677C6A">
              <w:t xml:space="preserve">, </w:t>
            </w:r>
            <w:proofErr w:type="spellStart"/>
            <w:r w:rsidRPr="00677C6A">
              <w:t>verapamil</w:t>
            </w:r>
            <w:proofErr w:type="spellEnd"/>
            <w:r w:rsidRPr="00677C6A">
              <w:t xml:space="preserve">, </w:t>
            </w:r>
            <w:proofErr w:type="spellStart"/>
            <w:r w:rsidRPr="00677C6A">
              <w:t>quinidin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og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ticagrelor</w:t>
            </w:r>
            <w:proofErr w:type="spellEnd"/>
            <w:r w:rsidRPr="00677C6A">
              <w:t>)</w:t>
            </w:r>
          </w:p>
        </w:tc>
      </w:tr>
      <w:tr w:rsidR="00B23689" w:rsidRPr="003C1655" w14:paraId="49ABD3AB" w14:textId="77777777" w:rsidTr="00864DFA">
        <w:tc>
          <w:tcPr>
            <w:tcW w:w="4531" w:type="dxa"/>
          </w:tcPr>
          <w:p w14:paraId="1C684762" w14:textId="1B15A60B" w:rsidR="00B23689" w:rsidRPr="00864DFA" w:rsidRDefault="00B23689" w:rsidP="008C7377">
            <w:proofErr w:type="spellStart"/>
            <w:r w:rsidRPr="00A24445">
              <w:t>Farmakodynamiske</w:t>
            </w:r>
            <w:proofErr w:type="spellEnd"/>
            <w:r w:rsidRPr="00A24445">
              <w:t xml:space="preserve"> </w:t>
            </w:r>
            <w:proofErr w:type="spellStart"/>
            <w:r w:rsidRPr="00A24445">
              <w:t>interaktioner</w:t>
            </w:r>
            <w:proofErr w:type="spellEnd"/>
          </w:p>
        </w:tc>
        <w:tc>
          <w:tcPr>
            <w:tcW w:w="4531" w:type="dxa"/>
          </w:tcPr>
          <w:p w14:paraId="7C0735D3" w14:textId="77777777" w:rsidR="00B23689" w:rsidRPr="008A21E8" w:rsidRDefault="00B23689" w:rsidP="00B23689">
            <w:pPr>
              <w:rPr>
                <w:lang w:val="da-DK"/>
              </w:rPr>
            </w:pPr>
            <w:proofErr w:type="spellStart"/>
            <w:r w:rsidRPr="00677C6A">
              <w:t>Acetylsalicylsyre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og</w:t>
            </w:r>
            <w:proofErr w:type="spellEnd"/>
            <w:r w:rsidRPr="00677C6A">
              <w:t xml:space="preserve"> andre </w:t>
            </w:r>
            <w:proofErr w:type="spellStart"/>
            <w:r w:rsidRPr="00677C6A">
              <w:t>trombocythæmmende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lægemidler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såsom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clopidogrel</w:t>
            </w:r>
            <w:proofErr w:type="spellEnd"/>
          </w:p>
          <w:p w14:paraId="3BA8DA16" w14:textId="04E636AE" w:rsidR="00B23689" w:rsidRPr="008A21E8" w:rsidRDefault="00836CA0" w:rsidP="00B23689">
            <w:pPr>
              <w:rPr>
                <w:lang w:val="da-DK"/>
              </w:rPr>
            </w:pPr>
            <w:r w:rsidRPr="00677C6A">
              <w:t>• NSAID†</w:t>
            </w:r>
          </w:p>
          <w:p w14:paraId="57C35056" w14:textId="77777777" w:rsidR="00B23689" w:rsidRPr="008A21E8" w:rsidRDefault="00B23689" w:rsidP="00B23689">
            <w:pPr>
              <w:rPr>
                <w:lang w:val="da-DK"/>
              </w:rPr>
            </w:pPr>
            <w:r w:rsidRPr="00677C6A">
              <w:t xml:space="preserve">• </w:t>
            </w:r>
            <w:proofErr w:type="spellStart"/>
            <w:r w:rsidRPr="00677C6A">
              <w:t>SSRI'er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eller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SNRI'er</w:t>
            </w:r>
            <w:proofErr w:type="spellEnd"/>
            <w:r w:rsidRPr="00677C6A">
              <w:t>†</w:t>
            </w:r>
          </w:p>
          <w:p w14:paraId="6787393D" w14:textId="7AEDE4FB" w:rsidR="00B23689" w:rsidRPr="008A21E8" w:rsidRDefault="00B23689" w:rsidP="00B23689">
            <w:pPr>
              <w:rPr>
                <w:b/>
                <w:bCs/>
                <w:lang w:val="da-DK"/>
              </w:rPr>
            </w:pPr>
            <w:r w:rsidRPr="00677C6A">
              <w:t xml:space="preserve">• Andre </w:t>
            </w:r>
            <w:proofErr w:type="spellStart"/>
            <w:r w:rsidRPr="00677C6A">
              <w:t>lægemidler</w:t>
            </w:r>
            <w:proofErr w:type="spellEnd"/>
            <w:r w:rsidRPr="00677C6A">
              <w:t xml:space="preserve">, der </w:t>
            </w:r>
            <w:proofErr w:type="spellStart"/>
            <w:r w:rsidRPr="00677C6A">
              <w:t>kan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interferere</w:t>
            </w:r>
            <w:proofErr w:type="spellEnd"/>
            <w:r w:rsidRPr="00677C6A">
              <w:t xml:space="preserve"> med </w:t>
            </w:r>
            <w:proofErr w:type="spellStart"/>
            <w:r w:rsidRPr="00677C6A">
              <w:t>hæmostase</w:t>
            </w:r>
            <w:proofErr w:type="spellEnd"/>
          </w:p>
        </w:tc>
      </w:tr>
      <w:tr w:rsidR="00B23689" w14:paraId="20EE9F37" w14:textId="77777777" w:rsidTr="00864DFA">
        <w:tc>
          <w:tcPr>
            <w:tcW w:w="4531" w:type="dxa"/>
          </w:tcPr>
          <w:p w14:paraId="11585302" w14:textId="09AFE332" w:rsidR="00B23689" w:rsidRPr="008A21E8" w:rsidRDefault="00B23689" w:rsidP="008C7377">
            <w:pPr>
              <w:rPr>
                <w:lang w:val="da-DK"/>
              </w:rPr>
            </w:pPr>
            <w:proofErr w:type="spellStart"/>
            <w:r w:rsidRPr="00677C6A">
              <w:t>Sygdomme</w:t>
            </w:r>
            <w:proofErr w:type="spellEnd"/>
            <w:r w:rsidRPr="00677C6A">
              <w:t>/</w:t>
            </w:r>
            <w:proofErr w:type="spellStart"/>
            <w:r w:rsidRPr="00677C6A">
              <w:t>indgreb</w:t>
            </w:r>
            <w:proofErr w:type="spellEnd"/>
            <w:r w:rsidRPr="00677C6A">
              <w:t xml:space="preserve"> med </w:t>
            </w:r>
            <w:proofErr w:type="spellStart"/>
            <w:r w:rsidRPr="00677C6A">
              <w:t>særlig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risiko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for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blødning</w:t>
            </w:r>
            <w:proofErr w:type="spellEnd"/>
          </w:p>
        </w:tc>
        <w:tc>
          <w:tcPr>
            <w:tcW w:w="4531" w:type="dxa"/>
          </w:tcPr>
          <w:p w14:paraId="5BCEA384" w14:textId="77777777" w:rsidR="00B23689" w:rsidRDefault="00B23689" w:rsidP="003260A6">
            <w:pPr>
              <w:pStyle w:val="Listeafsnit"/>
              <w:numPr>
                <w:ilvl w:val="0"/>
                <w:numId w:val="5"/>
              </w:numPr>
              <w:ind w:left="183" w:hanging="183"/>
            </w:pPr>
            <w:proofErr w:type="spellStart"/>
            <w:r>
              <w:t>Medfødte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 </w:t>
            </w:r>
            <w:proofErr w:type="spellStart"/>
            <w:r>
              <w:t>erhvervede</w:t>
            </w:r>
            <w:proofErr w:type="spellEnd"/>
            <w:r>
              <w:t xml:space="preserve"> </w:t>
            </w:r>
            <w:proofErr w:type="spellStart"/>
            <w:r>
              <w:t>koagulationsforstyrrelser</w:t>
            </w:r>
            <w:proofErr w:type="spellEnd"/>
          </w:p>
          <w:p w14:paraId="6D1C4D92" w14:textId="6A7C0EC3" w:rsidR="00410892" w:rsidRDefault="00B23689" w:rsidP="00B23689">
            <w:r>
              <w:t xml:space="preserve">• </w:t>
            </w:r>
            <w:proofErr w:type="spellStart"/>
            <w:r>
              <w:t>Trombocytopeni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 funktionelle </w:t>
            </w:r>
            <w:proofErr w:type="spellStart"/>
            <w:r>
              <w:t>blodpladedefekter</w:t>
            </w:r>
            <w:proofErr w:type="spellEnd"/>
          </w:p>
          <w:p w14:paraId="344F3126" w14:textId="47879B32" w:rsidR="00410892" w:rsidRDefault="004A4133" w:rsidP="003260A6">
            <w:pPr>
              <w:pStyle w:val="Listeafsnit"/>
              <w:ind w:left="33"/>
            </w:pPr>
            <w:r>
              <w:t xml:space="preserve">• </w:t>
            </w:r>
            <w:proofErr w:type="spellStart"/>
            <w:r>
              <w:t>Øsofagitis</w:t>
            </w:r>
            <w:proofErr w:type="spellEnd"/>
            <w:r>
              <w:t xml:space="preserve">, </w:t>
            </w:r>
            <w:proofErr w:type="spellStart"/>
            <w:r>
              <w:t>gastritis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 </w:t>
            </w:r>
            <w:proofErr w:type="spellStart"/>
            <w:r>
              <w:t>gastroøsofageal</w:t>
            </w:r>
            <w:proofErr w:type="spellEnd"/>
            <w:r>
              <w:t xml:space="preserve"> </w:t>
            </w:r>
            <w:proofErr w:type="spellStart"/>
            <w:r>
              <w:t>refluks</w:t>
            </w:r>
            <w:proofErr w:type="spellEnd"/>
          </w:p>
          <w:p w14:paraId="121E4BC7" w14:textId="77777777" w:rsidR="00B23689" w:rsidRPr="008A21E8" w:rsidRDefault="00B23689" w:rsidP="00B23689">
            <w:pPr>
              <w:rPr>
                <w:lang w:val="da-DK"/>
              </w:rPr>
            </w:pPr>
            <w:r w:rsidRPr="00677C6A">
              <w:t xml:space="preserve">• </w:t>
            </w:r>
            <w:proofErr w:type="spellStart"/>
            <w:r w:rsidRPr="00677C6A">
              <w:t>Nylig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biopsi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eller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nyligt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alvorligt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traume</w:t>
            </w:r>
            <w:proofErr w:type="spellEnd"/>
          </w:p>
          <w:p w14:paraId="2F4DD40E" w14:textId="77777777" w:rsidR="00B23689" w:rsidRDefault="00B23689" w:rsidP="00B23689">
            <w:r>
              <w:t xml:space="preserve">• </w:t>
            </w:r>
            <w:proofErr w:type="spellStart"/>
            <w:r>
              <w:t>Bakteriel</w:t>
            </w:r>
            <w:proofErr w:type="spellEnd"/>
            <w:r>
              <w:t xml:space="preserve"> </w:t>
            </w:r>
            <w:proofErr w:type="spellStart"/>
            <w:r>
              <w:t>endokarditis</w:t>
            </w:r>
            <w:proofErr w:type="spellEnd"/>
          </w:p>
          <w:p w14:paraId="04753E95" w14:textId="5C07803A" w:rsidR="00B23689" w:rsidRPr="0079187C" w:rsidRDefault="00B23689" w:rsidP="00B23689">
            <w:pPr>
              <w:rPr>
                <w:b/>
                <w:bCs/>
              </w:rPr>
            </w:pPr>
          </w:p>
        </w:tc>
      </w:tr>
    </w:tbl>
    <w:p w14:paraId="2E58BBB7" w14:textId="3E4FC988" w:rsidR="00A24445" w:rsidRDefault="00B23689" w:rsidP="00265906">
      <w:r w:rsidRPr="00B23689">
        <w:t xml:space="preserve">† </w:t>
      </w:r>
      <w:proofErr w:type="spellStart"/>
      <w:r w:rsidRPr="00B23689">
        <w:t>NSAID'er</w:t>
      </w:r>
      <w:proofErr w:type="spellEnd"/>
      <w:r w:rsidRPr="00B23689">
        <w:t xml:space="preserve">: </w:t>
      </w:r>
      <w:proofErr w:type="spellStart"/>
      <w:r w:rsidRPr="00B23689">
        <w:t>ikke</w:t>
      </w:r>
      <w:proofErr w:type="spellEnd"/>
      <w:r w:rsidRPr="00B23689">
        <w:t xml:space="preserve">-steroide </w:t>
      </w:r>
      <w:proofErr w:type="spellStart"/>
      <w:r w:rsidRPr="00B23689">
        <w:t>antiinflammatoriske</w:t>
      </w:r>
      <w:proofErr w:type="spellEnd"/>
      <w:r w:rsidRPr="00B23689">
        <w:t xml:space="preserve"> </w:t>
      </w:r>
      <w:proofErr w:type="spellStart"/>
      <w:r w:rsidRPr="00B23689">
        <w:t>lægemidler</w:t>
      </w:r>
      <w:proofErr w:type="spellEnd"/>
      <w:r w:rsidRPr="00B23689">
        <w:t xml:space="preserve">; </w:t>
      </w:r>
      <w:proofErr w:type="spellStart"/>
      <w:r w:rsidRPr="00B23689">
        <w:t>SSRI'er</w:t>
      </w:r>
      <w:proofErr w:type="spellEnd"/>
      <w:r w:rsidRPr="00B23689">
        <w:t xml:space="preserve">: Selektive </w:t>
      </w:r>
      <w:proofErr w:type="spellStart"/>
      <w:r w:rsidRPr="00B23689">
        <w:t>serotonin</w:t>
      </w:r>
      <w:proofErr w:type="spellEnd"/>
      <w:r w:rsidRPr="00B23689">
        <w:t xml:space="preserve"> </w:t>
      </w:r>
      <w:proofErr w:type="spellStart"/>
      <w:r w:rsidRPr="00B23689">
        <w:t>genoptagelseshæmmere</w:t>
      </w:r>
      <w:proofErr w:type="spellEnd"/>
      <w:r w:rsidRPr="00B23689">
        <w:t xml:space="preserve">; SNRI: Serotonin-noradrenalin </w:t>
      </w:r>
      <w:proofErr w:type="spellStart"/>
      <w:r w:rsidRPr="00B23689">
        <w:t>reuptake</w:t>
      </w:r>
      <w:proofErr w:type="spellEnd"/>
      <w:r w:rsidRPr="00B23689">
        <w:t xml:space="preserve"> </w:t>
      </w:r>
      <w:proofErr w:type="spellStart"/>
      <w:r w:rsidRPr="00B23689">
        <w:t>hæmmere</w:t>
      </w:r>
      <w:proofErr w:type="spellEnd"/>
    </w:p>
    <w:p w14:paraId="57392B08" w14:textId="3A9ABE7A" w:rsidR="00265906" w:rsidRDefault="00265906" w:rsidP="008C7377"/>
    <w:p w14:paraId="5D8A2550" w14:textId="77777777" w:rsidR="00E677EE" w:rsidRDefault="00E677EE" w:rsidP="008C7377"/>
    <w:p w14:paraId="41D1036E" w14:textId="6E75AB70" w:rsidR="0079187C" w:rsidRPr="008A21E8" w:rsidRDefault="0079187C" w:rsidP="008C7377">
      <w:pPr>
        <w:rPr>
          <w:b/>
          <w:bCs/>
          <w:sz w:val="28"/>
          <w:szCs w:val="28"/>
          <w:lang w:val="da-DK"/>
        </w:rPr>
      </w:pPr>
      <w:r w:rsidRPr="00677C6A">
        <w:rPr>
          <w:b/>
          <w:bCs/>
          <w:sz w:val="28"/>
          <w:szCs w:val="28"/>
        </w:rPr>
        <w:t xml:space="preserve">Perioperativ </w:t>
      </w:r>
      <w:proofErr w:type="spellStart"/>
      <w:r w:rsidR="000346DB">
        <w:rPr>
          <w:b/>
          <w:bCs/>
          <w:sz w:val="28"/>
          <w:szCs w:val="28"/>
        </w:rPr>
        <w:t>behandling</w:t>
      </w:r>
      <w:proofErr w:type="spellEnd"/>
    </w:p>
    <w:p w14:paraId="670EF025" w14:textId="4F2AC2B4" w:rsidR="0079187C" w:rsidRPr="008A21E8" w:rsidRDefault="0079187C" w:rsidP="00B8420D">
      <w:pPr>
        <w:rPr>
          <w:b/>
          <w:bCs/>
          <w:lang w:val="da-DK"/>
        </w:rPr>
      </w:pPr>
      <w:proofErr w:type="spellStart"/>
      <w:r w:rsidRPr="00677C6A">
        <w:rPr>
          <w:b/>
          <w:bCs/>
        </w:rPr>
        <w:lastRenderedPageBreak/>
        <w:t>Kirurgiske</w:t>
      </w:r>
      <w:proofErr w:type="spellEnd"/>
      <w:r w:rsidRPr="00677C6A">
        <w:rPr>
          <w:b/>
          <w:bCs/>
        </w:rPr>
        <w:t xml:space="preserve"> </w:t>
      </w:r>
      <w:proofErr w:type="spellStart"/>
      <w:r w:rsidRPr="00677C6A">
        <w:rPr>
          <w:b/>
          <w:bCs/>
        </w:rPr>
        <w:t>og</w:t>
      </w:r>
      <w:proofErr w:type="spellEnd"/>
      <w:r w:rsidRPr="00677C6A">
        <w:rPr>
          <w:b/>
          <w:bCs/>
        </w:rPr>
        <w:t xml:space="preserve"> invasive </w:t>
      </w:r>
      <w:proofErr w:type="spellStart"/>
      <w:r w:rsidRPr="00677C6A">
        <w:rPr>
          <w:b/>
          <w:bCs/>
        </w:rPr>
        <w:t>indgreb</w:t>
      </w:r>
      <w:proofErr w:type="spellEnd"/>
    </w:p>
    <w:p w14:paraId="16948DC0" w14:textId="77777777" w:rsidR="00975603" w:rsidRDefault="00975603" w:rsidP="00975603">
      <w:proofErr w:type="spellStart"/>
      <w:r>
        <w:t>Patienter</w:t>
      </w:r>
      <w:proofErr w:type="spellEnd"/>
      <w:r>
        <w:t xml:space="preserve">, der </w:t>
      </w:r>
      <w:proofErr w:type="spellStart"/>
      <w:r>
        <w:t>gennemgår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invasive </w:t>
      </w:r>
      <w:proofErr w:type="spellStart"/>
      <w:r>
        <w:t>procedurer</w:t>
      </w:r>
      <w:proofErr w:type="spellEnd"/>
      <w:r>
        <w:t xml:space="preserve">, har en </w:t>
      </w:r>
      <w:proofErr w:type="spellStart"/>
      <w:r>
        <w:t>øget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blødning</w:t>
      </w:r>
      <w:proofErr w:type="spellEnd"/>
      <w:r>
        <w:t xml:space="preserve">. </w:t>
      </w:r>
      <w:proofErr w:type="spellStart"/>
      <w:r>
        <w:t>Derfor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midlertidig</w:t>
      </w:r>
      <w:proofErr w:type="spellEnd"/>
      <w:r>
        <w:t xml:space="preserve"> seponering </w:t>
      </w:r>
      <w:proofErr w:type="spellStart"/>
      <w:r>
        <w:t>af</w:t>
      </w:r>
      <w:proofErr w:type="spellEnd"/>
      <w:r>
        <w:t xml:space="preserve"> </w:t>
      </w:r>
      <w:proofErr w:type="spellStart"/>
      <w:r>
        <w:t>dabigatranetexilat</w:t>
      </w:r>
      <w:proofErr w:type="spellEnd"/>
      <w:r>
        <w:t xml:space="preserve"> </w:t>
      </w:r>
      <w:proofErr w:type="spellStart"/>
      <w:r>
        <w:t>være</w:t>
      </w:r>
      <w:proofErr w:type="spellEnd"/>
      <w:r>
        <w:t xml:space="preserve"> </w:t>
      </w:r>
      <w:proofErr w:type="spellStart"/>
      <w:r>
        <w:t>nødvendigt</w:t>
      </w:r>
      <w:proofErr w:type="spellEnd"/>
      <w:r>
        <w:t>.</w:t>
      </w:r>
    </w:p>
    <w:p w14:paraId="5CA08D12" w14:textId="77777777" w:rsidR="00975603" w:rsidRDefault="00975603" w:rsidP="00975603">
      <w:r>
        <w:t xml:space="preserve">Clearance </w:t>
      </w:r>
      <w:proofErr w:type="spellStart"/>
      <w:r>
        <w:t>af</w:t>
      </w:r>
      <w:proofErr w:type="spellEnd"/>
      <w:r>
        <w:t xml:space="preserve"> </w:t>
      </w:r>
      <w:proofErr w:type="spellStart"/>
      <w:r>
        <w:t>dabigatran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tage </w:t>
      </w:r>
      <w:proofErr w:type="spellStart"/>
      <w:r>
        <w:t>længere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</w:t>
      </w:r>
      <w:proofErr w:type="spellStart"/>
      <w:r>
        <w:t>hos</w:t>
      </w:r>
      <w:proofErr w:type="spellEnd"/>
      <w:r>
        <w:t xml:space="preserve"> </w:t>
      </w:r>
      <w:proofErr w:type="spellStart"/>
      <w:r>
        <w:t>patienter</w:t>
      </w:r>
      <w:proofErr w:type="spellEnd"/>
      <w:r>
        <w:t xml:space="preserve"> med </w:t>
      </w:r>
      <w:proofErr w:type="spellStart"/>
      <w:r>
        <w:t>nyreinsufficiens</w:t>
      </w:r>
      <w:proofErr w:type="spellEnd"/>
      <w:r>
        <w:t xml:space="preserve">. </w:t>
      </w:r>
      <w:proofErr w:type="spellStart"/>
      <w:r>
        <w:t>Dette</w:t>
      </w:r>
      <w:proofErr w:type="spellEnd"/>
      <w:r>
        <w:t xml:space="preserve"> </w:t>
      </w:r>
      <w:proofErr w:type="spellStart"/>
      <w:r>
        <w:t>bør</w:t>
      </w:r>
      <w:proofErr w:type="spellEnd"/>
      <w:r>
        <w:t xml:space="preserve"> </w:t>
      </w:r>
      <w:proofErr w:type="spellStart"/>
      <w:r>
        <w:t>altid</w:t>
      </w:r>
      <w:proofErr w:type="spellEnd"/>
      <w:r>
        <w:t xml:space="preserve"> </w:t>
      </w:r>
      <w:proofErr w:type="spellStart"/>
      <w:r>
        <w:t>tages</w:t>
      </w:r>
      <w:proofErr w:type="spellEnd"/>
      <w:r>
        <w:t xml:space="preserve"> i </w:t>
      </w:r>
      <w:proofErr w:type="spellStart"/>
      <w:r>
        <w:t>betragtning</w:t>
      </w:r>
      <w:proofErr w:type="spellEnd"/>
      <w:r>
        <w:t xml:space="preserve">, </w:t>
      </w:r>
      <w:proofErr w:type="spellStart"/>
      <w:r>
        <w:t>inden</w:t>
      </w:r>
      <w:proofErr w:type="spellEnd"/>
      <w:r>
        <w:t xml:space="preserve"> eventuelle </w:t>
      </w:r>
      <w:proofErr w:type="spellStart"/>
      <w:r>
        <w:t>indgreb</w:t>
      </w:r>
      <w:proofErr w:type="spellEnd"/>
      <w:r>
        <w:t>.</w:t>
      </w:r>
    </w:p>
    <w:p w14:paraId="3A1B78B4" w14:textId="4110A5F6" w:rsidR="00B8420D" w:rsidRPr="008A21E8" w:rsidRDefault="00B8420D" w:rsidP="00B8420D">
      <w:pPr>
        <w:rPr>
          <w:lang w:val="da-DK"/>
        </w:rPr>
      </w:pPr>
    </w:p>
    <w:p w14:paraId="4AF255F3" w14:textId="77777777" w:rsidR="00B8420D" w:rsidRPr="008A21E8" w:rsidRDefault="00B8420D" w:rsidP="00B8420D">
      <w:pPr>
        <w:rPr>
          <w:lang w:val="da-DK"/>
        </w:rPr>
      </w:pPr>
    </w:p>
    <w:p w14:paraId="4DD82CD5" w14:textId="77777777" w:rsidR="00B8420D" w:rsidRPr="008A21E8" w:rsidRDefault="00B8420D" w:rsidP="00B8420D">
      <w:pPr>
        <w:rPr>
          <w:b/>
          <w:bCs/>
          <w:lang w:val="da-DK"/>
        </w:rPr>
      </w:pPr>
      <w:proofErr w:type="spellStart"/>
      <w:r w:rsidRPr="00677C6A">
        <w:rPr>
          <w:b/>
          <w:bCs/>
        </w:rPr>
        <w:t>Nødoperationer</w:t>
      </w:r>
      <w:proofErr w:type="spellEnd"/>
      <w:r w:rsidRPr="00677C6A">
        <w:rPr>
          <w:b/>
          <w:bCs/>
        </w:rPr>
        <w:t xml:space="preserve"> </w:t>
      </w:r>
      <w:proofErr w:type="spellStart"/>
      <w:r w:rsidRPr="00677C6A">
        <w:rPr>
          <w:b/>
          <w:bCs/>
        </w:rPr>
        <w:t>eller</w:t>
      </w:r>
      <w:proofErr w:type="spellEnd"/>
      <w:r w:rsidRPr="00677C6A">
        <w:rPr>
          <w:b/>
          <w:bCs/>
        </w:rPr>
        <w:t xml:space="preserve"> </w:t>
      </w:r>
      <w:proofErr w:type="spellStart"/>
      <w:r w:rsidRPr="00677C6A">
        <w:rPr>
          <w:b/>
          <w:bCs/>
        </w:rPr>
        <w:t>hasteprocedurer</w:t>
      </w:r>
      <w:proofErr w:type="spellEnd"/>
    </w:p>
    <w:p w14:paraId="793CD43F" w14:textId="05DC2A02" w:rsidR="00B8420D" w:rsidRPr="008A21E8" w:rsidRDefault="00FE5A79" w:rsidP="00B8420D">
      <w:pPr>
        <w:rPr>
          <w:lang w:val="da-DK"/>
        </w:rPr>
      </w:pPr>
      <w:proofErr w:type="spellStart"/>
      <w:r>
        <w:t>D</w:t>
      </w:r>
      <w:r w:rsidRPr="00FE5A79">
        <w:t>abigatranetexilat</w:t>
      </w:r>
      <w:proofErr w:type="spellEnd"/>
      <w:r w:rsidR="00213E1E" w:rsidRPr="00677C6A">
        <w:t xml:space="preserve"> </w:t>
      </w:r>
      <w:proofErr w:type="spellStart"/>
      <w:r w:rsidR="00213E1E" w:rsidRPr="00677C6A">
        <w:t>bør</w:t>
      </w:r>
      <w:proofErr w:type="spellEnd"/>
      <w:r w:rsidR="00213E1E" w:rsidRPr="00677C6A">
        <w:t xml:space="preserve"> </w:t>
      </w:r>
      <w:proofErr w:type="spellStart"/>
      <w:r w:rsidR="00213E1E" w:rsidRPr="00677C6A">
        <w:t>midlertidigt</w:t>
      </w:r>
      <w:proofErr w:type="spellEnd"/>
      <w:r w:rsidR="00213E1E" w:rsidRPr="00677C6A">
        <w:t xml:space="preserve"> </w:t>
      </w:r>
      <w:proofErr w:type="spellStart"/>
      <w:r w:rsidR="00213E1E" w:rsidRPr="00677C6A">
        <w:t>seponeres</w:t>
      </w:r>
      <w:proofErr w:type="spellEnd"/>
      <w:r w:rsidR="00213E1E" w:rsidRPr="00677C6A">
        <w:t xml:space="preserve">. Dabigatran </w:t>
      </w:r>
      <w:proofErr w:type="spellStart"/>
      <w:r w:rsidR="00213E1E" w:rsidRPr="00677C6A">
        <w:t>kan</w:t>
      </w:r>
      <w:proofErr w:type="spellEnd"/>
      <w:r w:rsidR="00213E1E" w:rsidRPr="00677C6A">
        <w:t xml:space="preserve"> </w:t>
      </w:r>
      <w:proofErr w:type="spellStart"/>
      <w:r w:rsidR="00213E1E" w:rsidRPr="00677C6A">
        <w:t>elimineres</w:t>
      </w:r>
      <w:proofErr w:type="spellEnd"/>
      <w:r w:rsidR="00213E1E" w:rsidRPr="00677C6A">
        <w:t xml:space="preserve"> </w:t>
      </w:r>
      <w:proofErr w:type="spellStart"/>
      <w:r w:rsidR="00213E1E" w:rsidRPr="00677C6A">
        <w:t>ved</w:t>
      </w:r>
      <w:proofErr w:type="spellEnd"/>
      <w:r w:rsidR="00213E1E" w:rsidRPr="00677C6A">
        <w:t xml:space="preserve"> </w:t>
      </w:r>
      <w:proofErr w:type="spellStart"/>
      <w:r w:rsidR="00213E1E" w:rsidRPr="00677C6A">
        <w:t>hæmodialyse</w:t>
      </w:r>
      <w:proofErr w:type="spellEnd"/>
      <w:r w:rsidR="00213E1E" w:rsidRPr="00677C6A">
        <w:t xml:space="preserve">. </w:t>
      </w:r>
      <w:proofErr w:type="spellStart"/>
      <w:r w:rsidR="00213E1E" w:rsidRPr="00677C6A">
        <w:t>Ved</w:t>
      </w:r>
      <w:proofErr w:type="spellEnd"/>
      <w:r w:rsidR="00213E1E" w:rsidRPr="00677C6A">
        <w:t xml:space="preserve"> seponering </w:t>
      </w:r>
      <w:proofErr w:type="spellStart"/>
      <w:r w:rsidR="00213E1E" w:rsidRPr="00677C6A">
        <w:t>af</w:t>
      </w:r>
      <w:proofErr w:type="spellEnd"/>
      <w:r w:rsidR="00213E1E" w:rsidRPr="00677C6A">
        <w:t xml:space="preserve"> </w:t>
      </w:r>
      <w:proofErr w:type="spellStart"/>
      <w:r w:rsidR="00213E1E" w:rsidRPr="00677C6A">
        <w:t>behandlingen</w:t>
      </w:r>
      <w:proofErr w:type="spellEnd"/>
      <w:r w:rsidR="00213E1E" w:rsidRPr="00677C6A">
        <w:t xml:space="preserve"> med </w:t>
      </w:r>
      <w:proofErr w:type="spellStart"/>
      <w:r w:rsidR="00213E1E" w:rsidRPr="00677C6A">
        <w:t>dabigatran</w:t>
      </w:r>
      <w:proofErr w:type="spellEnd"/>
      <w:r w:rsidR="00213E1E" w:rsidRPr="00677C6A">
        <w:t xml:space="preserve"> </w:t>
      </w:r>
      <w:proofErr w:type="spellStart"/>
      <w:r w:rsidR="00213E1E" w:rsidRPr="00677C6A">
        <w:t>udsættes</w:t>
      </w:r>
      <w:proofErr w:type="spellEnd"/>
      <w:r w:rsidR="00213E1E" w:rsidRPr="00677C6A">
        <w:t xml:space="preserve"> </w:t>
      </w:r>
      <w:proofErr w:type="spellStart"/>
      <w:r w:rsidR="00213E1E" w:rsidRPr="00677C6A">
        <w:t>patienterne</w:t>
      </w:r>
      <w:proofErr w:type="spellEnd"/>
      <w:r w:rsidR="00213E1E" w:rsidRPr="00677C6A">
        <w:t xml:space="preserve"> </w:t>
      </w:r>
      <w:proofErr w:type="spellStart"/>
      <w:r w:rsidR="00213E1E" w:rsidRPr="00677C6A">
        <w:t>for</w:t>
      </w:r>
      <w:proofErr w:type="spellEnd"/>
      <w:r w:rsidR="00213E1E" w:rsidRPr="00677C6A">
        <w:t xml:space="preserve"> den </w:t>
      </w:r>
      <w:proofErr w:type="spellStart"/>
      <w:r w:rsidR="00213E1E" w:rsidRPr="00677C6A">
        <w:t>trombotiske</w:t>
      </w:r>
      <w:proofErr w:type="spellEnd"/>
      <w:r w:rsidR="00213E1E" w:rsidRPr="00677C6A">
        <w:t xml:space="preserve"> </w:t>
      </w:r>
      <w:proofErr w:type="spellStart"/>
      <w:r w:rsidR="00213E1E" w:rsidRPr="00677C6A">
        <w:t>risiko</w:t>
      </w:r>
      <w:proofErr w:type="spellEnd"/>
      <w:r w:rsidR="00213E1E" w:rsidRPr="00677C6A">
        <w:t xml:space="preserve"> </w:t>
      </w:r>
      <w:proofErr w:type="spellStart"/>
      <w:r w:rsidR="00213E1E" w:rsidRPr="00677C6A">
        <w:t>for</w:t>
      </w:r>
      <w:proofErr w:type="spellEnd"/>
      <w:r w:rsidR="00213E1E" w:rsidRPr="00677C6A">
        <w:t xml:space="preserve"> </w:t>
      </w:r>
      <w:proofErr w:type="spellStart"/>
      <w:r w:rsidR="00213E1E" w:rsidRPr="00677C6A">
        <w:t>deres</w:t>
      </w:r>
      <w:proofErr w:type="spellEnd"/>
      <w:r w:rsidR="00213E1E" w:rsidRPr="00677C6A">
        <w:t xml:space="preserve"> </w:t>
      </w:r>
      <w:proofErr w:type="spellStart"/>
      <w:r w:rsidR="00213E1E" w:rsidRPr="00677C6A">
        <w:t>underliggende</w:t>
      </w:r>
      <w:proofErr w:type="spellEnd"/>
      <w:r w:rsidR="00213E1E" w:rsidRPr="00677C6A">
        <w:t xml:space="preserve"> </w:t>
      </w:r>
      <w:proofErr w:type="spellStart"/>
      <w:r w:rsidR="00213E1E" w:rsidRPr="00677C6A">
        <w:t>sygdom</w:t>
      </w:r>
      <w:proofErr w:type="spellEnd"/>
      <w:r w:rsidR="00213E1E" w:rsidRPr="00677C6A">
        <w:t>.</w:t>
      </w:r>
    </w:p>
    <w:p w14:paraId="0BD3AA13" w14:textId="77777777" w:rsidR="00B8420D" w:rsidRPr="008A21E8" w:rsidRDefault="00B8420D" w:rsidP="00B8420D">
      <w:pPr>
        <w:rPr>
          <w:lang w:val="da-DK"/>
        </w:rPr>
      </w:pPr>
    </w:p>
    <w:p w14:paraId="52305532" w14:textId="77777777" w:rsidR="00B8420D" w:rsidRPr="008A21E8" w:rsidRDefault="00B8420D" w:rsidP="00B8420D">
      <w:pPr>
        <w:rPr>
          <w:b/>
          <w:bCs/>
          <w:lang w:val="da-DK"/>
        </w:rPr>
      </w:pPr>
      <w:proofErr w:type="spellStart"/>
      <w:r w:rsidRPr="00677C6A">
        <w:rPr>
          <w:b/>
          <w:bCs/>
        </w:rPr>
        <w:t>Subakutte</w:t>
      </w:r>
      <w:proofErr w:type="spellEnd"/>
      <w:r w:rsidRPr="00677C6A">
        <w:rPr>
          <w:b/>
          <w:bCs/>
        </w:rPr>
        <w:t xml:space="preserve"> </w:t>
      </w:r>
      <w:proofErr w:type="spellStart"/>
      <w:r w:rsidRPr="00677C6A">
        <w:rPr>
          <w:b/>
          <w:bCs/>
        </w:rPr>
        <w:t>kirurgiske</w:t>
      </w:r>
      <w:proofErr w:type="spellEnd"/>
      <w:r w:rsidRPr="00677C6A">
        <w:rPr>
          <w:b/>
          <w:bCs/>
        </w:rPr>
        <w:t xml:space="preserve"> </w:t>
      </w:r>
      <w:proofErr w:type="spellStart"/>
      <w:r w:rsidRPr="00677C6A">
        <w:rPr>
          <w:b/>
          <w:bCs/>
        </w:rPr>
        <w:t>procedurer</w:t>
      </w:r>
      <w:proofErr w:type="spellEnd"/>
      <w:r w:rsidRPr="00677C6A">
        <w:rPr>
          <w:b/>
          <w:bCs/>
        </w:rPr>
        <w:t xml:space="preserve"> / </w:t>
      </w:r>
      <w:proofErr w:type="spellStart"/>
      <w:r w:rsidRPr="00677C6A">
        <w:rPr>
          <w:b/>
          <w:bCs/>
        </w:rPr>
        <w:t>operationer</w:t>
      </w:r>
      <w:proofErr w:type="spellEnd"/>
    </w:p>
    <w:p w14:paraId="4E0069C7" w14:textId="5714B74A" w:rsidR="00265906" w:rsidRPr="008A21E8" w:rsidRDefault="00FE5A79" w:rsidP="00B8420D">
      <w:pPr>
        <w:rPr>
          <w:lang w:val="da-DK"/>
        </w:rPr>
      </w:pPr>
      <w:proofErr w:type="spellStart"/>
      <w:r>
        <w:t>D</w:t>
      </w:r>
      <w:r w:rsidRPr="00FE5A79">
        <w:t>abigatranetexilat</w:t>
      </w:r>
      <w:proofErr w:type="spellEnd"/>
      <w:r w:rsidR="00B8420D" w:rsidRPr="00677C6A">
        <w:t xml:space="preserve"> </w:t>
      </w:r>
      <w:proofErr w:type="spellStart"/>
      <w:r w:rsidR="00B8420D" w:rsidRPr="00677C6A">
        <w:t>bør</w:t>
      </w:r>
      <w:proofErr w:type="spellEnd"/>
      <w:r w:rsidR="00B8420D" w:rsidRPr="00677C6A">
        <w:t xml:space="preserve"> </w:t>
      </w:r>
      <w:proofErr w:type="spellStart"/>
      <w:r w:rsidR="00B8420D" w:rsidRPr="00677C6A">
        <w:t>midlertidigt</w:t>
      </w:r>
      <w:proofErr w:type="spellEnd"/>
      <w:r w:rsidR="00B8420D" w:rsidRPr="00677C6A">
        <w:t xml:space="preserve"> </w:t>
      </w:r>
      <w:proofErr w:type="spellStart"/>
      <w:r w:rsidR="00B8420D" w:rsidRPr="00677C6A">
        <w:t>seponeres</w:t>
      </w:r>
      <w:proofErr w:type="spellEnd"/>
      <w:r w:rsidR="00B8420D" w:rsidRPr="00677C6A">
        <w:t xml:space="preserve">. </w:t>
      </w:r>
      <w:proofErr w:type="spellStart"/>
      <w:r w:rsidR="00B8420D" w:rsidRPr="00677C6A">
        <w:t>Hvis</w:t>
      </w:r>
      <w:proofErr w:type="spellEnd"/>
      <w:r w:rsidR="00B8420D" w:rsidRPr="00677C6A">
        <w:t xml:space="preserve"> </w:t>
      </w:r>
      <w:proofErr w:type="spellStart"/>
      <w:r w:rsidR="00B8420D" w:rsidRPr="00677C6A">
        <w:t>det</w:t>
      </w:r>
      <w:proofErr w:type="spellEnd"/>
      <w:r w:rsidR="00B8420D" w:rsidRPr="00677C6A">
        <w:t xml:space="preserve"> er </w:t>
      </w:r>
      <w:proofErr w:type="spellStart"/>
      <w:r w:rsidR="00B8420D" w:rsidRPr="00677C6A">
        <w:t>muligt</w:t>
      </w:r>
      <w:proofErr w:type="spellEnd"/>
      <w:r w:rsidR="00B8420D" w:rsidRPr="00677C6A">
        <w:t xml:space="preserve">, </w:t>
      </w:r>
      <w:proofErr w:type="spellStart"/>
      <w:r w:rsidR="00B8420D" w:rsidRPr="00677C6A">
        <w:t>skal</w:t>
      </w:r>
      <w:proofErr w:type="spellEnd"/>
      <w:r w:rsidR="00B8420D" w:rsidRPr="00677C6A">
        <w:t xml:space="preserve"> </w:t>
      </w:r>
      <w:proofErr w:type="spellStart"/>
      <w:r w:rsidR="00B8420D" w:rsidRPr="00677C6A">
        <w:t>kirurgi</w:t>
      </w:r>
      <w:proofErr w:type="spellEnd"/>
      <w:r w:rsidR="00B8420D" w:rsidRPr="00677C6A">
        <w:t xml:space="preserve"> </w:t>
      </w:r>
      <w:proofErr w:type="spellStart"/>
      <w:r w:rsidR="00B8420D" w:rsidRPr="00677C6A">
        <w:t>udføres</w:t>
      </w:r>
      <w:proofErr w:type="spellEnd"/>
      <w:r w:rsidR="00B8420D" w:rsidRPr="00677C6A">
        <w:t xml:space="preserve"> </w:t>
      </w:r>
      <w:proofErr w:type="spellStart"/>
      <w:r w:rsidR="00B8420D" w:rsidRPr="00677C6A">
        <w:t>tidligst</w:t>
      </w:r>
      <w:proofErr w:type="spellEnd"/>
      <w:r w:rsidR="00B8420D" w:rsidRPr="00677C6A">
        <w:t xml:space="preserve"> 12 </w:t>
      </w:r>
      <w:proofErr w:type="spellStart"/>
      <w:r w:rsidR="00B8420D" w:rsidRPr="00677C6A">
        <w:t>timer</w:t>
      </w:r>
      <w:proofErr w:type="spellEnd"/>
      <w:r w:rsidR="00B8420D" w:rsidRPr="00677C6A">
        <w:t xml:space="preserve"> </w:t>
      </w:r>
      <w:proofErr w:type="spellStart"/>
      <w:r w:rsidR="00B8420D" w:rsidRPr="00677C6A">
        <w:t>efter</w:t>
      </w:r>
      <w:proofErr w:type="spellEnd"/>
      <w:r w:rsidR="00B8420D" w:rsidRPr="00677C6A">
        <w:t xml:space="preserve"> den </w:t>
      </w:r>
      <w:proofErr w:type="spellStart"/>
      <w:r w:rsidR="00B8420D" w:rsidRPr="00677C6A">
        <w:t>sidste</w:t>
      </w:r>
      <w:proofErr w:type="spellEnd"/>
      <w:r w:rsidR="00B8420D" w:rsidRPr="00677C6A">
        <w:t xml:space="preserve"> </w:t>
      </w:r>
      <w:proofErr w:type="spellStart"/>
      <w:r w:rsidR="00B8420D" w:rsidRPr="00677C6A">
        <w:t>dosis</w:t>
      </w:r>
      <w:proofErr w:type="spellEnd"/>
      <w:r w:rsidR="00B8420D" w:rsidRPr="00677C6A">
        <w:t xml:space="preserve">. </w:t>
      </w:r>
      <w:proofErr w:type="spellStart"/>
      <w:r w:rsidR="00B8420D" w:rsidRPr="00677C6A">
        <w:t>Hvis</w:t>
      </w:r>
      <w:proofErr w:type="spellEnd"/>
      <w:r w:rsidR="00B8420D" w:rsidRPr="00677C6A">
        <w:t xml:space="preserve"> </w:t>
      </w:r>
      <w:proofErr w:type="spellStart"/>
      <w:r w:rsidR="00B8420D" w:rsidRPr="00677C6A">
        <w:t>proceduren</w:t>
      </w:r>
      <w:proofErr w:type="spellEnd"/>
      <w:r w:rsidR="00B8420D" w:rsidRPr="00677C6A">
        <w:t xml:space="preserve"> </w:t>
      </w:r>
      <w:proofErr w:type="spellStart"/>
      <w:r w:rsidR="00B8420D" w:rsidRPr="00677C6A">
        <w:t>ikke</w:t>
      </w:r>
      <w:proofErr w:type="spellEnd"/>
      <w:r w:rsidR="00B8420D" w:rsidRPr="00677C6A">
        <w:t xml:space="preserve"> </w:t>
      </w:r>
      <w:proofErr w:type="spellStart"/>
      <w:r w:rsidR="00B8420D" w:rsidRPr="00677C6A">
        <w:t>kan</w:t>
      </w:r>
      <w:proofErr w:type="spellEnd"/>
      <w:r w:rsidR="00B8420D" w:rsidRPr="00677C6A">
        <w:t xml:space="preserve"> </w:t>
      </w:r>
      <w:proofErr w:type="spellStart"/>
      <w:r w:rsidR="00B8420D" w:rsidRPr="00677C6A">
        <w:t>udskydes</w:t>
      </w:r>
      <w:proofErr w:type="spellEnd"/>
      <w:r w:rsidR="00B8420D" w:rsidRPr="00677C6A">
        <w:t xml:space="preserve">, </w:t>
      </w:r>
      <w:proofErr w:type="spellStart"/>
      <w:r w:rsidR="00B8420D" w:rsidRPr="00677C6A">
        <w:t>kan</w:t>
      </w:r>
      <w:proofErr w:type="spellEnd"/>
      <w:r w:rsidR="00B8420D" w:rsidRPr="00677C6A">
        <w:t xml:space="preserve"> der </w:t>
      </w:r>
      <w:proofErr w:type="spellStart"/>
      <w:r w:rsidR="00B8420D" w:rsidRPr="00677C6A">
        <w:t>være</w:t>
      </w:r>
      <w:proofErr w:type="spellEnd"/>
      <w:r w:rsidR="00B8420D" w:rsidRPr="00677C6A">
        <w:t xml:space="preserve"> en </w:t>
      </w:r>
      <w:proofErr w:type="spellStart"/>
      <w:r w:rsidR="00B8420D" w:rsidRPr="00677C6A">
        <w:t>øget</w:t>
      </w:r>
      <w:proofErr w:type="spellEnd"/>
      <w:r w:rsidR="00B8420D" w:rsidRPr="00677C6A">
        <w:t xml:space="preserve"> </w:t>
      </w:r>
      <w:proofErr w:type="spellStart"/>
      <w:r w:rsidR="00B8420D" w:rsidRPr="00677C6A">
        <w:t>risiko</w:t>
      </w:r>
      <w:proofErr w:type="spellEnd"/>
      <w:r w:rsidR="00B8420D" w:rsidRPr="00677C6A">
        <w:t xml:space="preserve"> </w:t>
      </w:r>
      <w:proofErr w:type="spellStart"/>
      <w:r w:rsidR="00B8420D" w:rsidRPr="00677C6A">
        <w:t>for</w:t>
      </w:r>
      <w:proofErr w:type="spellEnd"/>
      <w:r w:rsidR="00B8420D" w:rsidRPr="00677C6A">
        <w:t xml:space="preserve"> </w:t>
      </w:r>
      <w:proofErr w:type="spellStart"/>
      <w:r w:rsidR="00B8420D" w:rsidRPr="00677C6A">
        <w:t>blødning</w:t>
      </w:r>
      <w:proofErr w:type="spellEnd"/>
      <w:r w:rsidR="00B8420D" w:rsidRPr="00677C6A">
        <w:t xml:space="preserve">. </w:t>
      </w:r>
      <w:proofErr w:type="spellStart"/>
      <w:r w:rsidR="00B8420D" w:rsidRPr="00677C6A">
        <w:t>Risikoen</w:t>
      </w:r>
      <w:proofErr w:type="spellEnd"/>
      <w:r w:rsidR="00B8420D" w:rsidRPr="00677C6A">
        <w:t xml:space="preserve"> </w:t>
      </w:r>
      <w:proofErr w:type="spellStart"/>
      <w:r w:rsidR="00B8420D" w:rsidRPr="00677C6A">
        <w:t>for</w:t>
      </w:r>
      <w:proofErr w:type="spellEnd"/>
      <w:r w:rsidR="00B8420D" w:rsidRPr="00677C6A">
        <w:t xml:space="preserve"> </w:t>
      </w:r>
      <w:proofErr w:type="spellStart"/>
      <w:r w:rsidR="00B8420D" w:rsidRPr="00677C6A">
        <w:t>blødning</w:t>
      </w:r>
      <w:proofErr w:type="spellEnd"/>
      <w:r w:rsidR="00B8420D" w:rsidRPr="00677C6A">
        <w:t xml:space="preserve"> </w:t>
      </w:r>
      <w:proofErr w:type="spellStart"/>
      <w:r w:rsidR="00B8420D" w:rsidRPr="00677C6A">
        <w:t>og</w:t>
      </w:r>
      <w:proofErr w:type="spellEnd"/>
      <w:r w:rsidR="00B8420D" w:rsidRPr="00677C6A">
        <w:t xml:space="preserve"> </w:t>
      </w:r>
      <w:proofErr w:type="spellStart"/>
      <w:r w:rsidR="00B8420D" w:rsidRPr="00677C6A">
        <w:t>procedurens</w:t>
      </w:r>
      <w:proofErr w:type="spellEnd"/>
      <w:r w:rsidR="00B8420D" w:rsidRPr="00677C6A">
        <w:t xml:space="preserve"> hastende </w:t>
      </w:r>
      <w:proofErr w:type="spellStart"/>
      <w:r w:rsidR="00B8420D" w:rsidRPr="00677C6A">
        <w:t>karakter</w:t>
      </w:r>
      <w:proofErr w:type="spellEnd"/>
      <w:r w:rsidR="00B8420D" w:rsidRPr="00677C6A">
        <w:t xml:space="preserve"> </w:t>
      </w:r>
      <w:proofErr w:type="spellStart"/>
      <w:r w:rsidR="00B8420D" w:rsidRPr="00677C6A">
        <w:t>bør</w:t>
      </w:r>
      <w:proofErr w:type="spellEnd"/>
      <w:r w:rsidR="00B8420D" w:rsidRPr="00677C6A">
        <w:t xml:space="preserve"> </w:t>
      </w:r>
      <w:proofErr w:type="spellStart"/>
      <w:r w:rsidR="00B8420D" w:rsidRPr="00677C6A">
        <w:t>afvejes</w:t>
      </w:r>
      <w:proofErr w:type="spellEnd"/>
      <w:r w:rsidR="00B8420D" w:rsidRPr="00677C6A">
        <w:t xml:space="preserve"> </w:t>
      </w:r>
      <w:proofErr w:type="spellStart"/>
      <w:r w:rsidR="00B8420D" w:rsidRPr="00677C6A">
        <w:t>mod</w:t>
      </w:r>
      <w:proofErr w:type="spellEnd"/>
      <w:r w:rsidR="00B8420D" w:rsidRPr="00677C6A">
        <w:t xml:space="preserve"> </w:t>
      </w:r>
      <w:proofErr w:type="spellStart"/>
      <w:r w:rsidR="00B8420D" w:rsidRPr="00677C6A">
        <w:t>hinanden</w:t>
      </w:r>
      <w:proofErr w:type="spellEnd"/>
      <w:r w:rsidR="00B8420D" w:rsidRPr="00677C6A">
        <w:t>.</w:t>
      </w:r>
    </w:p>
    <w:p w14:paraId="06A69DB5" w14:textId="40FCCD18" w:rsidR="00B8420D" w:rsidRPr="008A21E8" w:rsidRDefault="00B8420D" w:rsidP="008C7377">
      <w:pPr>
        <w:rPr>
          <w:lang w:val="da-DK"/>
        </w:rPr>
      </w:pPr>
    </w:p>
    <w:p w14:paraId="69682E99" w14:textId="77777777" w:rsidR="00B8420D" w:rsidRPr="008A21E8" w:rsidRDefault="00B8420D" w:rsidP="00B8420D">
      <w:pPr>
        <w:rPr>
          <w:b/>
          <w:bCs/>
          <w:lang w:val="da-DK"/>
        </w:rPr>
      </w:pPr>
      <w:r w:rsidRPr="00677C6A">
        <w:rPr>
          <w:b/>
          <w:bCs/>
        </w:rPr>
        <w:t xml:space="preserve">Elektive </w:t>
      </w:r>
      <w:proofErr w:type="spellStart"/>
      <w:r w:rsidRPr="00677C6A">
        <w:rPr>
          <w:b/>
          <w:bCs/>
        </w:rPr>
        <w:t>operationer</w:t>
      </w:r>
      <w:proofErr w:type="spellEnd"/>
    </w:p>
    <w:p w14:paraId="5CD08A28" w14:textId="74F869AB" w:rsidR="00B8420D" w:rsidRPr="008A21E8" w:rsidRDefault="00213E1E" w:rsidP="00B8420D">
      <w:pPr>
        <w:rPr>
          <w:lang w:val="da-DK"/>
        </w:rPr>
      </w:pPr>
      <w:proofErr w:type="spellStart"/>
      <w:r w:rsidRPr="00677C6A">
        <w:t>Dabigatranetexilat</w:t>
      </w:r>
      <w:proofErr w:type="spellEnd"/>
      <w:r w:rsidRPr="00677C6A">
        <w:t xml:space="preserve"> </w:t>
      </w:r>
      <w:proofErr w:type="spellStart"/>
      <w:r w:rsidRPr="00677C6A">
        <w:t>bør</w:t>
      </w:r>
      <w:proofErr w:type="spellEnd"/>
      <w:r w:rsidRPr="00677C6A">
        <w:t xml:space="preserve"> </w:t>
      </w:r>
      <w:proofErr w:type="spellStart"/>
      <w:r w:rsidRPr="00677C6A">
        <w:t>seponeres</w:t>
      </w:r>
      <w:proofErr w:type="spellEnd"/>
      <w:r w:rsidRPr="00677C6A">
        <w:t xml:space="preserve"> </w:t>
      </w:r>
      <w:proofErr w:type="spellStart"/>
      <w:r w:rsidRPr="00677C6A">
        <w:t>mindst</w:t>
      </w:r>
      <w:proofErr w:type="spellEnd"/>
      <w:r w:rsidRPr="00677C6A">
        <w:t xml:space="preserve"> 24 </w:t>
      </w:r>
      <w:proofErr w:type="spellStart"/>
      <w:r w:rsidRPr="00677C6A">
        <w:t>timer</w:t>
      </w:r>
      <w:proofErr w:type="spellEnd"/>
      <w:r w:rsidRPr="00677C6A">
        <w:t xml:space="preserve"> </w:t>
      </w:r>
      <w:proofErr w:type="spellStart"/>
      <w:r w:rsidRPr="00677C6A">
        <w:t>før</w:t>
      </w:r>
      <w:proofErr w:type="spellEnd"/>
      <w:r w:rsidRPr="00677C6A">
        <w:t xml:space="preserve"> et </w:t>
      </w:r>
      <w:proofErr w:type="spellStart"/>
      <w:r w:rsidRPr="00677C6A">
        <w:t>invasivt</w:t>
      </w:r>
      <w:proofErr w:type="spellEnd"/>
      <w:r w:rsidRPr="00677C6A">
        <w:t xml:space="preserve"> </w:t>
      </w:r>
      <w:proofErr w:type="spellStart"/>
      <w:r w:rsidRPr="00677C6A">
        <w:t>eller</w:t>
      </w:r>
      <w:proofErr w:type="spellEnd"/>
      <w:r w:rsidRPr="00677C6A">
        <w:t xml:space="preserve"> </w:t>
      </w:r>
      <w:proofErr w:type="spellStart"/>
      <w:r w:rsidRPr="00677C6A">
        <w:t>kirurgisk</w:t>
      </w:r>
      <w:proofErr w:type="spellEnd"/>
      <w:r w:rsidRPr="00677C6A">
        <w:t xml:space="preserve"> </w:t>
      </w:r>
      <w:proofErr w:type="spellStart"/>
      <w:r w:rsidRPr="00677C6A">
        <w:t>indgreb</w:t>
      </w:r>
      <w:proofErr w:type="spellEnd"/>
      <w:r w:rsidRPr="00677C6A">
        <w:t xml:space="preserve">, </w:t>
      </w:r>
      <w:proofErr w:type="spellStart"/>
      <w:r w:rsidRPr="00677C6A">
        <w:t>hvis</w:t>
      </w:r>
      <w:proofErr w:type="spellEnd"/>
      <w:r w:rsidRPr="00677C6A">
        <w:t xml:space="preserve"> </w:t>
      </w:r>
      <w:proofErr w:type="spellStart"/>
      <w:r w:rsidRPr="00677C6A">
        <w:t>det</w:t>
      </w:r>
      <w:proofErr w:type="spellEnd"/>
      <w:r w:rsidRPr="00677C6A">
        <w:t xml:space="preserve"> er </w:t>
      </w:r>
      <w:proofErr w:type="spellStart"/>
      <w:r w:rsidRPr="00677C6A">
        <w:t>muligt</w:t>
      </w:r>
      <w:proofErr w:type="spellEnd"/>
      <w:r w:rsidRPr="00677C6A">
        <w:t xml:space="preserve">. Hos </w:t>
      </w:r>
      <w:proofErr w:type="spellStart"/>
      <w:r w:rsidRPr="00677C6A">
        <w:t>patienter</w:t>
      </w:r>
      <w:proofErr w:type="spellEnd"/>
      <w:r w:rsidRPr="00677C6A">
        <w:t xml:space="preserve"> med en </w:t>
      </w:r>
      <w:proofErr w:type="spellStart"/>
      <w:r w:rsidRPr="00677C6A">
        <w:t>højere</w:t>
      </w:r>
      <w:proofErr w:type="spellEnd"/>
      <w:r w:rsidRPr="00677C6A">
        <w:t xml:space="preserve"> </w:t>
      </w:r>
      <w:proofErr w:type="spellStart"/>
      <w:r w:rsidRPr="00677C6A">
        <w:t>risiko</w:t>
      </w:r>
      <w:proofErr w:type="spellEnd"/>
      <w:r w:rsidRPr="00677C6A">
        <w:t xml:space="preserve"> </w:t>
      </w:r>
      <w:proofErr w:type="spellStart"/>
      <w:r w:rsidRPr="00677C6A">
        <w:t>for</w:t>
      </w:r>
      <w:proofErr w:type="spellEnd"/>
      <w:r w:rsidRPr="00677C6A">
        <w:t xml:space="preserve"> </w:t>
      </w:r>
      <w:proofErr w:type="spellStart"/>
      <w:r w:rsidRPr="00677C6A">
        <w:t>blødning</w:t>
      </w:r>
      <w:proofErr w:type="spellEnd"/>
      <w:r w:rsidRPr="00677C6A">
        <w:t xml:space="preserve"> </w:t>
      </w:r>
      <w:proofErr w:type="spellStart"/>
      <w:r w:rsidRPr="00677C6A">
        <w:t>eller</w:t>
      </w:r>
      <w:proofErr w:type="spellEnd"/>
      <w:r w:rsidRPr="00677C6A">
        <w:t xml:space="preserve"> </w:t>
      </w:r>
      <w:proofErr w:type="spellStart"/>
      <w:r w:rsidRPr="00677C6A">
        <w:t>ved</w:t>
      </w:r>
      <w:proofErr w:type="spellEnd"/>
      <w:r w:rsidRPr="00677C6A">
        <w:t xml:space="preserve"> </w:t>
      </w:r>
      <w:proofErr w:type="spellStart"/>
      <w:r w:rsidRPr="00677C6A">
        <w:t>større</w:t>
      </w:r>
      <w:proofErr w:type="spellEnd"/>
      <w:r w:rsidRPr="00677C6A">
        <w:t xml:space="preserve"> </w:t>
      </w:r>
      <w:proofErr w:type="spellStart"/>
      <w:r w:rsidRPr="00677C6A">
        <w:t>procedurer</w:t>
      </w:r>
      <w:proofErr w:type="spellEnd"/>
      <w:r w:rsidRPr="00677C6A">
        <w:t xml:space="preserve">, der </w:t>
      </w:r>
      <w:proofErr w:type="spellStart"/>
      <w:r w:rsidRPr="00677C6A">
        <w:t>kræver</w:t>
      </w:r>
      <w:proofErr w:type="spellEnd"/>
      <w:r w:rsidRPr="00677C6A">
        <w:t xml:space="preserve"> </w:t>
      </w:r>
      <w:proofErr w:type="spellStart"/>
      <w:r w:rsidRPr="00677C6A">
        <w:t>fuldstændig</w:t>
      </w:r>
      <w:proofErr w:type="spellEnd"/>
      <w:r w:rsidRPr="00677C6A">
        <w:t xml:space="preserve"> </w:t>
      </w:r>
      <w:proofErr w:type="spellStart"/>
      <w:r w:rsidRPr="00677C6A">
        <w:t>hæmostase</w:t>
      </w:r>
      <w:proofErr w:type="spellEnd"/>
      <w:r w:rsidRPr="00677C6A">
        <w:t xml:space="preserve">, </w:t>
      </w:r>
      <w:proofErr w:type="spellStart"/>
      <w:r w:rsidRPr="00677C6A">
        <w:t>kan</w:t>
      </w:r>
      <w:proofErr w:type="spellEnd"/>
      <w:r w:rsidRPr="00677C6A">
        <w:t xml:space="preserve"> </w:t>
      </w:r>
      <w:proofErr w:type="spellStart"/>
      <w:r w:rsidRPr="00677C6A">
        <w:t>det</w:t>
      </w:r>
      <w:proofErr w:type="spellEnd"/>
      <w:r w:rsidRPr="00677C6A">
        <w:t xml:space="preserve"> </w:t>
      </w:r>
      <w:proofErr w:type="spellStart"/>
      <w:r w:rsidRPr="00677C6A">
        <w:t>være</w:t>
      </w:r>
      <w:proofErr w:type="spellEnd"/>
      <w:r w:rsidRPr="00677C6A">
        <w:t xml:space="preserve"> </w:t>
      </w:r>
      <w:proofErr w:type="spellStart"/>
      <w:r w:rsidRPr="00677C6A">
        <w:t>nødvendigt</w:t>
      </w:r>
      <w:proofErr w:type="spellEnd"/>
      <w:r w:rsidRPr="00677C6A">
        <w:t xml:space="preserve"> at </w:t>
      </w:r>
      <w:proofErr w:type="spellStart"/>
      <w:r w:rsidRPr="00677C6A">
        <w:t>afbryde</w:t>
      </w:r>
      <w:proofErr w:type="spellEnd"/>
      <w:r w:rsidRPr="00677C6A">
        <w:t xml:space="preserve"> </w:t>
      </w:r>
      <w:proofErr w:type="spellStart"/>
      <w:r w:rsidRPr="00677C6A">
        <w:t>brugen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dabigatranetexilat</w:t>
      </w:r>
      <w:proofErr w:type="spellEnd"/>
      <w:r w:rsidRPr="00677C6A">
        <w:t xml:space="preserve"> 2 </w:t>
      </w:r>
      <w:proofErr w:type="spellStart"/>
      <w:r w:rsidRPr="00677C6A">
        <w:t>til</w:t>
      </w:r>
      <w:proofErr w:type="spellEnd"/>
      <w:r w:rsidRPr="00677C6A">
        <w:t xml:space="preserve"> 4 </w:t>
      </w:r>
      <w:proofErr w:type="spellStart"/>
      <w:r w:rsidRPr="00677C6A">
        <w:t>dage</w:t>
      </w:r>
      <w:proofErr w:type="spellEnd"/>
      <w:r w:rsidRPr="00677C6A">
        <w:t xml:space="preserve"> </w:t>
      </w:r>
      <w:proofErr w:type="spellStart"/>
      <w:r w:rsidRPr="00677C6A">
        <w:t>før</w:t>
      </w:r>
      <w:proofErr w:type="spellEnd"/>
      <w:r w:rsidRPr="00677C6A">
        <w:t xml:space="preserve"> </w:t>
      </w:r>
      <w:proofErr w:type="spellStart"/>
      <w:r w:rsidRPr="00677C6A">
        <w:t>proceduren</w:t>
      </w:r>
      <w:proofErr w:type="spellEnd"/>
      <w:r w:rsidRPr="00677C6A">
        <w:t>.</w:t>
      </w:r>
    </w:p>
    <w:p w14:paraId="11E29727" w14:textId="7287533D" w:rsidR="00657EB2" w:rsidRPr="008A21E8" w:rsidRDefault="00213E1E" w:rsidP="00B8420D">
      <w:pPr>
        <w:rPr>
          <w:lang w:val="da-DK"/>
        </w:rPr>
      </w:pPr>
      <w:r w:rsidRPr="00677C6A">
        <w:t xml:space="preserve">Regler </w:t>
      </w:r>
      <w:proofErr w:type="spellStart"/>
      <w:r w:rsidRPr="00677C6A">
        <w:t>for</w:t>
      </w:r>
      <w:proofErr w:type="spellEnd"/>
      <w:r w:rsidRPr="00677C6A">
        <w:t xml:space="preserve"> seponering </w:t>
      </w:r>
      <w:proofErr w:type="spellStart"/>
      <w:r w:rsidRPr="00677C6A">
        <w:t>før</w:t>
      </w:r>
      <w:proofErr w:type="spellEnd"/>
      <w:r w:rsidRPr="00677C6A">
        <w:t xml:space="preserve"> invasive </w:t>
      </w:r>
      <w:proofErr w:type="spellStart"/>
      <w:r w:rsidRPr="00677C6A">
        <w:t>eller</w:t>
      </w:r>
      <w:proofErr w:type="spellEnd"/>
      <w:r w:rsidRPr="00677C6A">
        <w:t xml:space="preserve"> </w:t>
      </w:r>
      <w:proofErr w:type="spellStart"/>
      <w:r w:rsidRPr="00677C6A">
        <w:t>kirurgiske</w:t>
      </w:r>
      <w:proofErr w:type="spellEnd"/>
      <w:r w:rsidRPr="00677C6A">
        <w:t xml:space="preserve"> </w:t>
      </w:r>
      <w:proofErr w:type="spellStart"/>
      <w:r w:rsidRPr="00677C6A">
        <w:t>procedurer</w:t>
      </w:r>
      <w:proofErr w:type="spellEnd"/>
      <w:r w:rsidRPr="00677C6A">
        <w:t xml:space="preserve"> </w:t>
      </w:r>
      <w:proofErr w:type="spellStart"/>
      <w:r w:rsidRPr="00677C6A">
        <w:t>hos</w:t>
      </w:r>
      <w:proofErr w:type="spellEnd"/>
      <w:r w:rsidRPr="00677C6A">
        <w:t xml:space="preserve"> </w:t>
      </w:r>
      <w:proofErr w:type="spellStart"/>
      <w:r w:rsidRPr="00677C6A">
        <w:t>børn</w:t>
      </w:r>
      <w:proofErr w:type="spellEnd"/>
      <w:r w:rsidRPr="00677C6A">
        <w:t xml:space="preserve">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unge</w:t>
      </w:r>
      <w:proofErr w:type="spellEnd"/>
      <w:r w:rsidRPr="00677C6A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3E1E" w:rsidRPr="003C1655" w14:paraId="6B95352A" w14:textId="77777777" w:rsidTr="00213E1E">
        <w:tc>
          <w:tcPr>
            <w:tcW w:w="4531" w:type="dxa"/>
          </w:tcPr>
          <w:p w14:paraId="68A1C333" w14:textId="77777777" w:rsidR="00213E1E" w:rsidRDefault="00213E1E" w:rsidP="00213E1E">
            <w:proofErr w:type="spellStart"/>
            <w:r>
              <w:t>Nyrefunktion</w:t>
            </w:r>
            <w:proofErr w:type="spellEnd"/>
          </w:p>
          <w:p w14:paraId="71E26333" w14:textId="20CA6661" w:rsidR="00213E1E" w:rsidRDefault="00213E1E" w:rsidP="00213E1E">
            <w:r>
              <w:t>(</w:t>
            </w:r>
            <w:proofErr w:type="spellStart"/>
            <w:r>
              <w:t>eGFR</w:t>
            </w:r>
            <w:proofErr w:type="spellEnd"/>
            <w:r>
              <w:t xml:space="preserve"> i ml/min/1,73 m</w:t>
            </w:r>
            <w:r w:rsidRPr="007B12C4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4531" w:type="dxa"/>
          </w:tcPr>
          <w:p w14:paraId="15049357" w14:textId="6243F816" w:rsidR="00213E1E" w:rsidRPr="008A21E8" w:rsidRDefault="00213E1E" w:rsidP="008C7377">
            <w:pPr>
              <w:rPr>
                <w:lang w:val="da-DK"/>
              </w:rPr>
            </w:pPr>
            <w:r w:rsidRPr="00677C6A">
              <w:t xml:space="preserve">Seponering </w:t>
            </w:r>
            <w:proofErr w:type="spellStart"/>
            <w:r w:rsidRPr="00677C6A">
              <w:t>af</w:t>
            </w:r>
            <w:proofErr w:type="spellEnd"/>
            <w:r w:rsidRPr="00677C6A">
              <w:t xml:space="preserve"> Dabigatran </w:t>
            </w:r>
            <w:proofErr w:type="spellStart"/>
            <w:r w:rsidRPr="00677C6A">
              <w:t>før</w:t>
            </w:r>
            <w:proofErr w:type="spellEnd"/>
            <w:r w:rsidRPr="00677C6A">
              <w:t xml:space="preserve"> elektiv </w:t>
            </w:r>
            <w:proofErr w:type="spellStart"/>
            <w:r w:rsidRPr="00677C6A">
              <w:t>kirurgi</w:t>
            </w:r>
            <w:proofErr w:type="spellEnd"/>
          </w:p>
        </w:tc>
      </w:tr>
      <w:tr w:rsidR="00213E1E" w14:paraId="1D9385FC" w14:textId="77777777" w:rsidTr="00213E1E">
        <w:tc>
          <w:tcPr>
            <w:tcW w:w="4531" w:type="dxa"/>
          </w:tcPr>
          <w:p w14:paraId="56256DD0" w14:textId="6122EF0D" w:rsidR="00213E1E" w:rsidRDefault="00213E1E" w:rsidP="008C7377">
            <w:r>
              <w:t>&gt; 80</w:t>
            </w:r>
          </w:p>
        </w:tc>
        <w:tc>
          <w:tcPr>
            <w:tcW w:w="4531" w:type="dxa"/>
          </w:tcPr>
          <w:p w14:paraId="74F2B195" w14:textId="5644C281" w:rsidR="00213E1E" w:rsidRDefault="00213E1E" w:rsidP="008C7377">
            <w:r>
              <w:t xml:space="preserve">24 </w:t>
            </w:r>
            <w:proofErr w:type="spellStart"/>
            <w:r>
              <w:t>timer</w:t>
            </w:r>
            <w:proofErr w:type="spellEnd"/>
            <w:r>
              <w:t xml:space="preserve"> </w:t>
            </w:r>
            <w:proofErr w:type="spellStart"/>
            <w:r>
              <w:t>før</w:t>
            </w:r>
            <w:proofErr w:type="spellEnd"/>
          </w:p>
        </w:tc>
      </w:tr>
      <w:tr w:rsidR="00213E1E" w14:paraId="5DE74408" w14:textId="77777777" w:rsidTr="00213E1E">
        <w:tc>
          <w:tcPr>
            <w:tcW w:w="4531" w:type="dxa"/>
          </w:tcPr>
          <w:p w14:paraId="3F87DAE8" w14:textId="411085E9" w:rsidR="00213E1E" w:rsidRDefault="00213E1E" w:rsidP="008C7377">
            <w:r>
              <w:rPr>
                <w:spacing w:val="-2"/>
              </w:rPr>
              <w:t>50–80</w:t>
            </w:r>
          </w:p>
        </w:tc>
        <w:tc>
          <w:tcPr>
            <w:tcW w:w="4531" w:type="dxa"/>
          </w:tcPr>
          <w:p w14:paraId="59E5BF43" w14:textId="6AFB6735" w:rsidR="00213E1E" w:rsidRDefault="00213E1E" w:rsidP="008C7377">
            <w:r>
              <w:t xml:space="preserve">2 </w:t>
            </w:r>
            <w:proofErr w:type="spellStart"/>
            <w:r>
              <w:t>dage</w:t>
            </w:r>
            <w:proofErr w:type="spellEnd"/>
            <w:r>
              <w:t xml:space="preserve"> </w:t>
            </w:r>
            <w:proofErr w:type="spellStart"/>
            <w:r>
              <w:t>før</w:t>
            </w:r>
            <w:proofErr w:type="spellEnd"/>
          </w:p>
        </w:tc>
      </w:tr>
      <w:tr w:rsidR="00213E1E" w:rsidRPr="003C1655" w14:paraId="23B266FC" w14:textId="77777777" w:rsidTr="00213E1E">
        <w:tc>
          <w:tcPr>
            <w:tcW w:w="4531" w:type="dxa"/>
          </w:tcPr>
          <w:p w14:paraId="0C29C6D1" w14:textId="1883CE57" w:rsidR="00213E1E" w:rsidRDefault="00213E1E" w:rsidP="008C7377">
            <w:r>
              <w:t>&lt; 50</w:t>
            </w:r>
          </w:p>
        </w:tc>
        <w:tc>
          <w:tcPr>
            <w:tcW w:w="4531" w:type="dxa"/>
          </w:tcPr>
          <w:p w14:paraId="39BD0695" w14:textId="5F3472EA" w:rsidR="00213E1E" w:rsidRPr="008A21E8" w:rsidRDefault="00213E1E" w:rsidP="008C7377">
            <w:pPr>
              <w:rPr>
                <w:lang w:val="da-DK"/>
              </w:rPr>
            </w:pPr>
            <w:proofErr w:type="spellStart"/>
            <w:r w:rsidRPr="00677C6A">
              <w:t>Disse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patienter</w:t>
            </w:r>
            <w:proofErr w:type="spellEnd"/>
            <w:r w:rsidRPr="00677C6A">
              <w:t xml:space="preserve"> er </w:t>
            </w:r>
            <w:proofErr w:type="spellStart"/>
            <w:r w:rsidRPr="00677C6A">
              <w:t>ikke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undersøgt</w:t>
            </w:r>
            <w:proofErr w:type="spellEnd"/>
            <w:r w:rsidRPr="00677C6A">
              <w:t xml:space="preserve"> i </w:t>
            </w:r>
            <w:proofErr w:type="spellStart"/>
            <w:r w:rsidRPr="00677C6A">
              <w:t>studier</w:t>
            </w:r>
            <w:proofErr w:type="spellEnd"/>
            <w:r w:rsidRPr="00677C6A">
              <w:t xml:space="preserve"> (se </w:t>
            </w:r>
            <w:proofErr w:type="spellStart"/>
            <w:r w:rsidRPr="00677C6A">
              <w:t>afsnittet</w:t>
            </w:r>
            <w:proofErr w:type="spellEnd"/>
            <w:r w:rsidRPr="00677C6A">
              <w:t xml:space="preserve"> </w:t>
            </w:r>
            <w:proofErr w:type="spellStart"/>
            <w:r w:rsidRPr="00677C6A">
              <w:t>Kontraindikationer</w:t>
            </w:r>
            <w:proofErr w:type="spellEnd"/>
            <w:r w:rsidRPr="00677C6A">
              <w:t>).</w:t>
            </w:r>
          </w:p>
        </w:tc>
      </w:tr>
    </w:tbl>
    <w:p w14:paraId="53C6E056" w14:textId="77777777" w:rsidR="00213E1E" w:rsidRPr="008A21E8" w:rsidRDefault="00213E1E" w:rsidP="008C7377">
      <w:pPr>
        <w:rPr>
          <w:lang w:val="da-DK"/>
        </w:rPr>
      </w:pPr>
    </w:p>
    <w:p w14:paraId="7F054A4B" w14:textId="77777777" w:rsidR="00657EB2" w:rsidRPr="008A21E8" w:rsidRDefault="00657EB2" w:rsidP="00657EB2">
      <w:pPr>
        <w:rPr>
          <w:b/>
          <w:bCs/>
          <w:lang w:val="da-DK"/>
        </w:rPr>
      </w:pPr>
      <w:proofErr w:type="spellStart"/>
      <w:r w:rsidRPr="00677C6A">
        <w:rPr>
          <w:b/>
          <w:bCs/>
        </w:rPr>
        <w:t>Spinalanæstesi</w:t>
      </w:r>
      <w:proofErr w:type="spellEnd"/>
      <w:r w:rsidRPr="00677C6A">
        <w:rPr>
          <w:b/>
          <w:bCs/>
        </w:rPr>
        <w:t xml:space="preserve"> / </w:t>
      </w:r>
      <w:proofErr w:type="spellStart"/>
      <w:r w:rsidRPr="00677C6A">
        <w:rPr>
          <w:b/>
          <w:bCs/>
        </w:rPr>
        <w:t>epiduralbedøvelse</w:t>
      </w:r>
      <w:proofErr w:type="spellEnd"/>
      <w:r w:rsidRPr="00677C6A">
        <w:rPr>
          <w:b/>
          <w:bCs/>
        </w:rPr>
        <w:t xml:space="preserve"> / </w:t>
      </w:r>
      <w:proofErr w:type="spellStart"/>
      <w:r w:rsidRPr="00677C6A">
        <w:rPr>
          <w:b/>
          <w:bCs/>
        </w:rPr>
        <w:t>lumbalpunktur</w:t>
      </w:r>
      <w:proofErr w:type="spellEnd"/>
    </w:p>
    <w:p w14:paraId="559557CB" w14:textId="4D1C9774" w:rsidR="00B8420D" w:rsidRPr="008A21E8" w:rsidRDefault="00657EB2" w:rsidP="00657EB2">
      <w:pPr>
        <w:rPr>
          <w:lang w:val="da-DK"/>
        </w:rPr>
      </w:pPr>
      <w:proofErr w:type="spellStart"/>
      <w:r w:rsidRPr="00677C6A">
        <w:t>Risikoen</w:t>
      </w:r>
      <w:proofErr w:type="spellEnd"/>
      <w:r w:rsidRPr="00677C6A">
        <w:t xml:space="preserve"> </w:t>
      </w:r>
      <w:proofErr w:type="spellStart"/>
      <w:r w:rsidRPr="00677C6A">
        <w:t>for</w:t>
      </w:r>
      <w:proofErr w:type="spellEnd"/>
      <w:r w:rsidRPr="00677C6A">
        <w:t xml:space="preserve"> spinal </w:t>
      </w:r>
      <w:proofErr w:type="spellStart"/>
      <w:r w:rsidRPr="00677C6A">
        <w:t>eller</w:t>
      </w:r>
      <w:proofErr w:type="spellEnd"/>
      <w:r w:rsidRPr="00677C6A">
        <w:t xml:space="preserve"> epidural </w:t>
      </w:r>
      <w:proofErr w:type="spellStart"/>
      <w:r w:rsidRPr="00677C6A">
        <w:t>hæmatomer</w:t>
      </w:r>
      <w:proofErr w:type="spellEnd"/>
      <w:r w:rsidRPr="00677C6A">
        <w:t xml:space="preserve"> </w:t>
      </w:r>
      <w:proofErr w:type="spellStart"/>
      <w:r w:rsidRPr="00677C6A">
        <w:t>kan</w:t>
      </w:r>
      <w:proofErr w:type="spellEnd"/>
      <w:r w:rsidRPr="00677C6A">
        <w:t xml:space="preserve"> </w:t>
      </w:r>
      <w:proofErr w:type="spellStart"/>
      <w:r w:rsidRPr="00677C6A">
        <w:t>øges</w:t>
      </w:r>
      <w:proofErr w:type="spellEnd"/>
      <w:r w:rsidRPr="00677C6A">
        <w:t xml:space="preserve"> </w:t>
      </w:r>
      <w:proofErr w:type="spellStart"/>
      <w:r w:rsidRPr="00677C6A">
        <w:t>ved</w:t>
      </w:r>
      <w:proofErr w:type="spellEnd"/>
      <w:r w:rsidRPr="00677C6A">
        <w:t xml:space="preserve"> </w:t>
      </w:r>
      <w:proofErr w:type="spellStart"/>
      <w:r w:rsidRPr="00677C6A">
        <w:t>traumatisk</w:t>
      </w:r>
      <w:proofErr w:type="spellEnd"/>
      <w:r w:rsidRPr="00677C6A">
        <w:t xml:space="preserve"> </w:t>
      </w:r>
      <w:proofErr w:type="spellStart"/>
      <w:r w:rsidRPr="00677C6A">
        <w:t>eller</w:t>
      </w:r>
      <w:proofErr w:type="spellEnd"/>
      <w:r w:rsidRPr="00677C6A">
        <w:t xml:space="preserve"> </w:t>
      </w:r>
      <w:proofErr w:type="spellStart"/>
      <w:r w:rsidRPr="00677C6A">
        <w:t>gentagen</w:t>
      </w:r>
      <w:proofErr w:type="spellEnd"/>
      <w:r w:rsidRPr="00677C6A">
        <w:t xml:space="preserve"> </w:t>
      </w:r>
      <w:proofErr w:type="spellStart"/>
      <w:r w:rsidRPr="00677C6A">
        <w:t>punktering</w:t>
      </w:r>
      <w:proofErr w:type="spellEnd"/>
      <w:r w:rsidRPr="00677C6A">
        <w:t xml:space="preserve">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ved</w:t>
      </w:r>
      <w:proofErr w:type="spellEnd"/>
      <w:r w:rsidRPr="00677C6A">
        <w:t xml:space="preserve"> </w:t>
      </w:r>
      <w:proofErr w:type="spellStart"/>
      <w:r w:rsidRPr="00677C6A">
        <w:t>langvarig</w:t>
      </w:r>
      <w:proofErr w:type="spellEnd"/>
      <w:r w:rsidRPr="00677C6A">
        <w:t xml:space="preserve"> </w:t>
      </w:r>
      <w:proofErr w:type="spellStart"/>
      <w:r w:rsidRPr="00677C6A">
        <w:t>brug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epidurale </w:t>
      </w:r>
      <w:proofErr w:type="spellStart"/>
      <w:r w:rsidRPr="00677C6A">
        <w:t>katetre</w:t>
      </w:r>
      <w:proofErr w:type="spellEnd"/>
      <w:r w:rsidRPr="00677C6A">
        <w:t xml:space="preserve">. </w:t>
      </w:r>
      <w:proofErr w:type="spellStart"/>
      <w:r w:rsidRPr="00677C6A">
        <w:t>Efter</w:t>
      </w:r>
      <w:proofErr w:type="spellEnd"/>
      <w:r w:rsidRPr="00677C6A">
        <w:t xml:space="preserve"> </w:t>
      </w:r>
      <w:proofErr w:type="spellStart"/>
      <w:r w:rsidRPr="00677C6A">
        <w:t>fjernelse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et </w:t>
      </w:r>
      <w:proofErr w:type="spellStart"/>
      <w:r w:rsidRPr="00677C6A">
        <w:t>kateter</w:t>
      </w:r>
      <w:proofErr w:type="spellEnd"/>
      <w:r w:rsidRPr="00677C6A">
        <w:t xml:space="preserve"> </w:t>
      </w:r>
      <w:proofErr w:type="spellStart"/>
      <w:r w:rsidRPr="00677C6A">
        <w:t>skal</w:t>
      </w:r>
      <w:proofErr w:type="spellEnd"/>
      <w:r w:rsidRPr="00677C6A">
        <w:t xml:space="preserve"> der </w:t>
      </w:r>
      <w:proofErr w:type="spellStart"/>
      <w:r w:rsidRPr="00677C6A">
        <w:t>opretholdes</w:t>
      </w:r>
      <w:proofErr w:type="spellEnd"/>
      <w:r w:rsidRPr="00677C6A">
        <w:t xml:space="preserve"> et </w:t>
      </w:r>
      <w:proofErr w:type="spellStart"/>
      <w:r w:rsidRPr="00677C6A">
        <w:t>interval</w:t>
      </w:r>
      <w:proofErr w:type="spellEnd"/>
      <w:r w:rsidRPr="00677C6A">
        <w:t xml:space="preserve"> </w:t>
      </w:r>
      <w:proofErr w:type="spellStart"/>
      <w:r w:rsidRPr="00677C6A">
        <w:t>på</w:t>
      </w:r>
      <w:proofErr w:type="spellEnd"/>
      <w:r w:rsidRPr="00677C6A">
        <w:t xml:space="preserve"> </w:t>
      </w:r>
      <w:proofErr w:type="spellStart"/>
      <w:r w:rsidRPr="00677C6A">
        <w:t>mindst</w:t>
      </w:r>
      <w:proofErr w:type="spellEnd"/>
      <w:r w:rsidRPr="00677C6A">
        <w:t xml:space="preserve"> 2 </w:t>
      </w:r>
      <w:proofErr w:type="spellStart"/>
      <w:r w:rsidRPr="00677C6A">
        <w:t>timer</w:t>
      </w:r>
      <w:proofErr w:type="spellEnd"/>
      <w:r w:rsidRPr="00677C6A">
        <w:t xml:space="preserve">, </w:t>
      </w:r>
      <w:proofErr w:type="spellStart"/>
      <w:r w:rsidRPr="00677C6A">
        <w:t>indtil</w:t>
      </w:r>
      <w:proofErr w:type="spellEnd"/>
      <w:r w:rsidRPr="00677C6A">
        <w:t xml:space="preserve"> den </w:t>
      </w:r>
      <w:proofErr w:type="spellStart"/>
      <w:r w:rsidRPr="00677C6A">
        <w:t>første</w:t>
      </w:r>
      <w:proofErr w:type="spellEnd"/>
      <w:r w:rsidRPr="00677C6A">
        <w:t xml:space="preserve"> </w:t>
      </w:r>
      <w:proofErr w:type="spellStart"/>
      <w:r w:rsidRPr="00677C6A">
        <w:t>dosis</w:t>
      </w:r>
      <w:proofErr w:type="spellEnd"/>
      <w:r w:rsidRPr="00677C6A">
        <w:t xml:space="preserve"> </w:t>
      </w:r>
      <w:proofErr w:type="spellStart"/>
      <w:r w:rsidRPr="00677C6A">
        <w:t>dabigatranetexilat</w:t>
      </w:r>
      <w:proofErr w:type="spellEnd"/>
      <w:r w:rsidRPr="00677C6A">
        <w:t xml:space="preserve"> </w:t>
      </w:r>
      <w:proofErr w:type="spellStart"/>
      <w:r w:rsidRPr="00677C6A">
        <w:t>tages</w:t>
      </w:r>
      <w:proofErr w:type="spellEnd"/>
      <w:r w:rsidRPr="00677C6A">
        <w:t xml:space="preserve">. Hos </w:t>
      </w:r>
      <w:proofErr w:type="spellStart"/>
      <w:r w:rsidRPr="00677C6A">
        <w:t>disse</w:t>
      </w:r>
      <w:proofErr w:type="spellEnd"/>
      <w:r w:rsidRPr="00677C6A">
        <w:t xml:space="preserve"> </w:t>
      </w:r>
      <w:proofErr w:type="spellStart"/>
      <w:r w:rsidRPr="00677C6A">
        <w:rPr>
          <w:rFonts w:cstheme="minorHAnsi"/>
          <w:spacing w:val="-2"/>
        </w:rPr>
        <w:t>patienter</w:t>
      </w:r>
      <w:proofErr w:type="spellEnd"/>
      <w:r w:rsidRPr="00677C6A">
        <w:rPr>
          <w:rFonts w:cstheme="minorHAnsi"/>
          <w:spacing w:val="-2"/>
        </w:rPr>
        <w:t xml:space="preserve"> </w:t>
      </w:r>
      <w:proofErr w:type="spellStart"/>
      <w:r w:rsidRPr="00677C6A">
        <w:rPr>
          <w:rFonts w:cstheme="minorHAnsi"/>
          <w:spacing w:val="-2"/>
        </w:rPr>
        <w:t>kræves</w:t>
      </w:r>
      <w:proofErr w:type="spellEnd"/>
      <w:r w:rsidRPr="00677C6A">
        <w:rPr>
          <w:rFonts w:cstheme="minorHAnsi"/>
          <w:spacing w:val="-2"/>
        </w:rPr>
        <w:t xml:space="preserve"> </w:t>
      </w:r>
      <w:proofErr w:type="spellStart"/>
      <w:r w:rsidRPr="00677C6A">
        <w:rPr>
          <w:rFonts w:cstheme="minorHAnsi"/>
          <w:spacing w:val="-2"/>
        </w:rPr>
        <w:t>hyppig</w:t>
      </w:r>
      <w:proofErr w:type="spellEnd"/>
      <w:r w:rsidRPr="00677C6A">
        <w:rPr>
          <w:rFonts w:cstheme="minorHAnsi"/>
          <w:spacing w:val="-2"/>
        </w:rPr>
        <w:t xml:space="preserve"> </w:t>
      </w:r>
      <w:proofErr w:type="spellStart"/>
      <w:r w:rsidRPr="00677C6A">
        <w:rPr>
          <w:rFonts w:cstheme="minorHAnsi"/>
          <w:spacing w:val="-2"/>
        </w:rPr>
        <w:t>kontrol</w:t>
      </w:r>
      <w:proofErr w:type="spellEnd"/>
      <w:r w:rsidRPr="00677C6A">
        <w:rPr>
          <w:rFonts w:cstheme="minorHAnsi"/>
          <w:spacing w:val="-2"/>
        </w:rPr>
        <w:t xml:space="preserve"> </w:t>
      </w:r>
      <w:proofErr w:type="spellStart"/>
      <w:r w:rsidRPr="00677C6A">
        <w:rPr>
          <w:rFonts w:cstheme="minorHAnsi"/>
          <w:spacing w:val="-2"/>
        </w:rPr>
        <w:t>af</w:t>
      </w:r>
      <w:proofErr w:type="spellEnd"/>
      <w:r w:rsidRPr="00677C6A">
        <w:rPr>
          <w:rFonts w:cstheme="minorHAnsi"/>
          <w:spacing w:val="-2"/>
        </w:rPr>
        <w:t xml:space="preserve"> </w:t>
      </w:r>
      <w:proofErr w:type="spellStart"/>
      <w:r w:rsidRPr="00677C6A">
        <w:rPr>
          <w:rFonts w:cstheme="minorHAnsi"/>
          <w:spacing w:val="-2"/>
        </w:rPr>
        <w:t>neurologiske</w:t>
      </w:r>
      <w:proofErr w:type="spellEnd"/>
      <w:r w:rsidRPr="00677C6A">
        <w:rPr>
          <w:rFonts w:cstheme="minorHAnsi"/>
          <w:spacing w:val="-2"/>
        </w:rPr>
        <w:t xml:space="preserve"> </w:t>
      </w:r>
      <w:proofErr w:type="spellStart"/>
      <w:r w:rsidRPr="00677C6A">
        <w:rPr>
          <w:rFonts w:cstheme="minorHAnsi"/>
          <w:spacing w:val="-2"/>
        </w:rPr>
        <w:t>tegn</w:t>
      </w:r>
      <w:proofErr w:type="spellEnd"/>
      <w:r w:rsidRPr="00677C6A">
        <w:rPr>
          <w:rFonts w:cstheme="minorHAnsi"/>
          <w:spacing w:val="-2"/>
        </w:rPr>
        <w:t xml:space="preserve"> </w:t>
      </w:r>
      <w:proofErr w:type="spellStart"/>
      <w:r w:rsidRPr="00677C6A">
        <w:rPr>
          <w:rFonts w:cstheme="minorHAnsi"/>
          <w:spacing w:val="-2"/>
        </w:rPr>
        <w:t>og</w:t>
      </w:r>
      <w:proofErr w:type="spellEnd"/>
      <w:r w:rsidRPr="00677C6A">
        <w:rPr>
          <w:rFonts w:cstheme="minorHAnsi"/>
          <w:spacing w:val="-2"/>
        </w:rPr>
        <w:t xml:space="preserve"> </w:t>
      </w:r>
      <w:proofErr w:type="spellStart"/>
      <w:r w:rsidRPr="00677C6A">
        <w:rPr>
          <w:rFonts w:cstheme="minorHAnsi"/>
          <w:spacing w:val="-2"/>
        </w:rPr>
        <w:t>symptomer</w:t>
      </w:r>
      <w:proofErr w:type="spellEnd"/>
      <w:r w:rsidRPr="00677C6A">
        <w:rPr>
          <w:rFonts w:cstheme="minorHAnsi"/>
          <w:spacing w:val="-2"/>
        </w:rPr>
        <w:t xml:space="preserve"> </w:t>
      </w:r>
      <w:proofErr w:type="spellStart"/>
      <w:r w:rsidRPr="00677C6A">
        <w:rPr>
          <w:rFonts w:cstheme="minorHAnsi"/>
          <w:spacing w:val="-2"/>
        </w:rPr>
        <w:t>på</w:t>
      </w:r>
      <w:proofErr w:type="spellEnd"/>
      <w:r w:rsidRPr="00677C6A">
        <w:rPr>
          <w:rFonts w:cstheme="minorHAnsi"/>
          <w:spacing w:val="-2"/>
        </w:rPr>
        <w:t xml:space="preserve"> spinal </w:t>
      </w:r>
      <w:proofErr w:type="spellStart"/>
      <w:r w:rsidRPr="00677C6A">
        <w:rPr>
          <w:rFonts w:cstheme="minorHAnsi"/>
          <w:spacing w:val="-2"/>
        </w:rPr>
        <w:t>eller</w:t>
      </w:r>
      <w:proofErr w:type="spellEnd"/>
      <w:r w:rsidRPr="00677C6A">
        <w:rPr>
          <w:rFonts w:cstheme="minorHAnsi"/>
          <w:spacing w:val="-2"/>
        </w:rPr>
        <w:t xml:space="preserve"> epidural </w:t>
      </w:r>
      <w:proofErr w:type="spellStart"/>
      <w:r w:rsidRPr="00677C6A">
        <w:rPr>
          <w:rFonts w:cstheme="minorHAnsi"/>
          <w:spacing w:val="-2"/>
        </w:rPr>
        <w:t>hæmatomer</w:t>
      </w:r>
      <w:proofErr w:type="spellEnd"/>
      <w:r w:rsidRPr="00677C6A">
        <w:rPr>
          <w:rFonts w:cstheme="minorHAnsi"/>
          <w:spacing w:val="-2"/>
        </w:rPr>
        <w:t>.</w:t>
      </w:r>
    </w:p>
    <w:p w14:paraId="439E2044" w14:textId="021FB67C" w:rsidR="00B8420D" w:rsidRPr="008A21E8" w:rsidRDefault="00B8420D" w:rsidP="008C7377">
      <w:pPr>
        <w:rPr>
          <w:lang w:val="da-DK"/>
        </w:rPr>
      </w:pPr>
    </w:p>
    <w:p w14:paraId="15A85FDB" w14:textId="4DC33084" w:rsidR="00657EB2" w:rsidRPr="008A21E8" w:rsidRDefault="00A0206A" w:rsidP="008C7377">
      <w:pPr>
        <w:rPr>
          <w:b/>
          <w:bCs/>
          <w:sz w:val="28"/>
          <w:szCs w:val="28"/>
          <w:lang w:val="da-DK"/>
        </w:rPr>
      </w:pPr>
      <w:bookmarkStart w:id="0" w:name="_Hlk158285949"/>
      <w:r w:rsidRPr="00677C6A">
        <w:rPr>
          <w:b/>
          <w:bCs/>
          <w:sz w:val="28"/>
          <w:szCs w:val="28"/>
        </w:rPr>
        <w:t xml:space="preserve">Koagulationstest </w:t>
      </w:r>
      <w:proofErr w:type="spellStart"/>
      <w:r w:rsidRPr="00677C6A">
        <w:rPr>
          <w:b/>
          <w:bCs/>
          <w:sz w:val="28"/>
          <w:szCs w:val="28"/>
        </w:rPr>
        <w:t>og</w:t>
      </w:r>
      <w:proofErr w:type="spellEnd"/>
      <w:r w:rsidRPr="00677C6A">
        <w:rPr>
          <w:b/>
          <w:bCs/>
          <w:sz w:val="28"/>
          <w:szCs w:val="28"/>
        </w:rPr>
        <w:t xml:space="preserve"> </w:t>
      </w:r>
      <w:proofErr w:type="spellStart"/>
      <w:r w:rsidRPr="00677C6A">
        <w:rPr>
          <w:b/>
          <w:bCs/>
          <w:sz w:val="28"/>
          <w:szCs w:val="28"/>
        </w:rPr>
        <w:t>deres</w:t>
      </w:r>
      <w:proofErr w:type="spellEnd"/>
      <w:r w:rsidRPr="00677C6A">
        <w:rPr>
          <w:b/>
          <w:bCs/>
          <w:sz w:val="28"/>
          <w:szCs w:val="28"/>
        </w:rPr>
        <w:t xml:space="preserve"> </w:t>
      </w:r>
      <w:proofErr w:type="spellStart"/>
      <w:r w:rsidRPr="00677C6A">
        <w:rPr>
          <w:b/>
          <w:bCs/>
          <w:sz w:val="28"/>
          <w:szCs w:val="28"/>
        </w:rPr>
        <w:t>tolkning</w:t>
      </w:r>
      <w:proofErr w:type="spellEnd"/>
    </w:p>
    <w:bookmarkEnd w:id="0"/>
    <w:p w14:paraId="5DD0756B" w14:textId="7221FBBC" w:rsidR="00213E1E" w:rsidRPr="008A21E8" w:rsidRDefault="00213E1E" w:rsidP="00213E1E">
      <w:pPr>
        <w:rPr>
          <w:lang w:val="da-DK"/>
        </w:rPr>
      </w:pPr>
      <w:proofErr w:type="spellStart"/>
      <w:r w:rsidRPr="00677C6A">
        <w:lastRenderedPageBreak/>
        <w:t>Behandling</w:t>
      </w:r>
      <w:proofErr w:type="spellEnd"/>
      <w:r w:rsidRPr="00677C6A">
        <w:t xml:space="preserve"> med </w:t>
      </w:r>
      <w:proofErr w:type="spellStart"/>
      <w:r w:rsidRPr="00677C6A">
        <w:t>dabigatranetexilat</w:t>
      </w:r>
      <w:proofErr w:type="spellEnd"/>
      <w:r w:rsidRPr="00677C6A">
        <w:t xml:space="preserve"> </w:t>
      </w:r>
      <w:proofErr w:type="spellStart"/>
      <w:r w:rsidRPr="00677C6A">
        <w:t>kræver</w:t>
      </w:r>
      <w:proofErr w:type="spellEnd"/>
      <w:r w:rsidRPr="00677C6A">
        <w:t xml:space="preserve"> </w:t>
      </w:r>
      <w:proofErr w:type="spellStart"/>
      <w:r w:rsidRPr="00677C6A">
        <w:t>generelt</w:t>
      </w:r>
      <w:proofErr w:type="spellEnd"/>
      <w:r w:rsidRPr="00677C6A">
        <w:t xml:space="preserve"> </w:t>
      </w:r>
      <w:proofErr w:type="spellStart"/>
      <w:r w:rsidRPr="00677C6A">
        <w:t>ikke</w:t>
      </w:r>
      <w:proofErr w:type="spellEnd"/>
      <w:r w:rsidRPr="00677C6A">
        <w:t xml:space="preserve"> </w:t>
      </w:r>
      <w:proofErr w:type="spellStart"/>
      <w:r w:rsidRPr="00677C6A">
        <w:t>rutinemæssig</w:t>
      </w:r>
      <w:proofErr w:type="spellEnd"/>
      <w:r w:rsidRPr="00677C6A">
        <w:t xml:space="preserve"> overvågning.</w:t>
      </w:r>
      <w:r w:rsidR="00657EB2" w:rsidRPr="00677C6A">
        <w:rPr>
          <w:vertAlign w:val="superscript"/>
        </w:rPr>
        <w:t xml:space="preserve">3.4 </w:t>
      </w:r>
      <w:proofErr w:type="spellStart"/>
      <w:r w:rsidRPr="00677C6A">
        <w:t>Bestemmelse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dabigatran-relateret</w:t>
      </w:r>
      <w:proofErr w:type="spellEnd"/>
      <w:r w:rsidRPr="00677C6A">
        <w:t xml:space="preserve"> </w:t>
      </w:r>
      <w:proofErr w:type="spellStart"/>
      <w:r w:rsidRPr="00677C6A">
        <w:t>antikoagulant</w:t>
      </w:r>
      <w:proofErr w:type="spellEnd"/>
      <w:r w:rsidRPr="00677C6A">
        <w:t xml:space="preserve"> </w:t>
      </w:r>
      <w:proofErr w:type="spellStart"/>
      <w:r w:rsidRPr="00677C6A">
        <w:t>kan</w:t>
      </w:r>
      <w:proofErr w:type="spellEnd"/>
      <w:r w:rsidRPr="00677C6A">
        <w:t xml:space="preserve"> </w:t>
      </w:r>
      <w:proofErr w:type="spellStart"/>
      <w:r w:rsidRPr="00677C6A">
        <w:t>være</w:t>
      </w:r>
      <w:proofErr w:type="spellEnd"/>
      <w:r w:rsidRPr="00677C6A">
        <w:t xml:space="preserve"> </w:t>
      </w:r>
      <w:proofErr w:type="spellStart"/>
      <w:r w:rsidRPr="00677C6A">
        <w:t>nyttig</w:t>
      </w:r>
      <w:proofErr w:type="spellEnd"/>
      <w:r w:rsidRPr="00677C6A">
        <w:t xml:space="preserve"> </w:t>
      </w:r>
      <w:proofErr w:type="spellStart"/>
      <w:r w:rsidRPr="00677C6A">
        <w:t>til</w:t>
      </w:r>
      <w:proofErr w:type="spellEnd"/>
      <w:r w:rsidRPr="00677C6A">
        <w:t xml:space="preserve"> </w:t>
      </w:r>
      <w:proofErr w:type="spellStart"/>
      <w:r w:rsidRPr="00677C6A">
        <w:t>påvisning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overdreven</w:t>
      </w:r>
      <w:proofErr w:type="spellEnd"/>
      <w:r w:rsidRPr="00677C6A">
        <w:t xml:space="preserve"> </w:t>
      </w:r>
      <w:proofErr w:type="spellStart"/>
      <w:r w:rsidRPr="00677C6A">
        <w:t>eksponering</w:t>
      </w:r>
      <w:proofErr w:type="spellEnd"/>
      <w:r w:rsidRPr="00677C6A">
        <w:t xml:space="preserve"> </w:t>
      </w:r>
      <w:proofErr w:type="spellStart"/>
      <w:r w:rsidRPr="00677C6A">
        <w:t>for</w:t>
      </w:r>
      <w:proofErr w:type="spellEnd"/>
      <w:r w:rsidRPr="00677C6A">
        <w:t xml:space="preserve"> </w:t>
      </w:r>
      <w:proofErr w:type="spellStart"/>
      <w:r w:rsidRPr="00677C6A">
        <w:t>dabigatran</w:t>
      </w:r>
      <w:proofErr w:type="spellEnd"/>
      <w:r w:rsidRPr="00677C6A">
        <w:t xml:space="preserve"> </w:t>
      </w:r>
      <w:proofErr w:type="spellStart"/>
      <w:r w:rsidRPr="00677C6A">
        <w:t>ved</w:t>
      </w:r>
      <w:proofErr w:type="spellEnd"/>
      <w:r w:rsidRPr="00677C6A">
        <w:t xml:space="preserve"> </w:t>
      </w:r>
      <w:proofErr w:type="spellStart"/>
      <w:r w:rsidRPr="00677C6A">
        <w:t>tilstedeværelse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andre </w:t>
      </w:r>
      <w:proofErr w:type="spellStart"/>
      <w:r w:rsidRPr="00677C6A">
        <w:t>risikofaktorer</w:t>
      </w:r>
      <w:proofErr w:type="spellEnd"/>
      <w:r w:rsidRPr="00677C6A">
        <w:t>.</w:t>
      </w:r>
    </w:p>
    <w:p w14:paraId="21356237" w14:textId="5A9D45F3" w:rsidR="00213E1E" w:rsidRPr="008A21E8" w:rsidRDefault="0098453A" w:rsidP="00213E1E">
      <w:pPr>
        <w:rPr>
          <w:lang w:val="da-DK"/>
        </w:rPr>
      </w:pPr>
      <w:r w:rsidRPr="00677C6A">
        <w:t xml:space="preserve">• Hos </w:t>
      </w:r>
      <w:proofErr w:type="spellStart"/>
      <w:r w:rsidRPr="00677C6A">
        <w:t>patienter</w:t>
      </w:r>
      <w:proofErr w:type="spellEnd"/>
      <w:r w:rsidRPr="00677C6A">
        <w:t xml:space="preserve">, der </w:t>
      </w:r>
      <w:proofErr w:type="spellStart"/>
      <w:r w:rsidRPr="00677C6A">
        <w:t>får</w:t>
      </w:r>
      <w:proofErr w:type="spellEnd"/>
      <w:r w:rsidRPr="00677C6A">
        <w:t xml:space="preserve"> </w:t>
      </w:r>
      <w:proofErr w:type="spellStart"/>
      <w:r w:rsidRPr="00677C6A">
        <w:t>dabigatranetexilat</w:t>
      </w:r>
      <w:proofErr w:type="spellEnd"/>
      <w:r w:rsidRPr="00677C6A">
        <w:t xml:space="preserve">, er </w:t>
      </w:r>
      <w:proofErr w:type="spellStart"/>
      <w:r w:rsidRPr="00677C6A">
        <w:t>målingen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INR </w:t>
      </w:r>
      <w:proofErr w:type="spellStart"/>
      <w:r w:rsidRPr="00677C6A">
        <w:t>upålidelig</w:t>
      </w:r>
      <w:proofErr w:type="spellEnd"/>
      <w:r w:rsidRPr="00677C6A">
        <w:t xml:space="preserve">, </w:t>
      </w:r>
      <w:proofErr w:type="spellStart"/>
      <w:r w:rsidRPr="00677C6A">
        <w:t>og</w:t>
      </w:r>
      <w:proofErr w:type="spellEnd"/>
      <w:r w:rsidRPr="00677C6A">
        <w:t xml:space="preserve"> der er </w:t>
      </w:r>
      <w:proofErr w:type="spellStart"/>
      <w:r w:rsidRPr="00677C6A">
        <w:t>rapporter</w:t>
      </w:r>
      <w:proofErr w:type="spellEnd"/>
      <w:r w:rsidRPr="00677C6A">
        <w:t xml:space="preserve"> </w:t>
      </w:r>
      <w:proofErr w:type="spellStart"/>
      <w:r w:rsidRPr="00677C6A">
        <w:t>om</w:t>
      </w:r>
      <w:proofErr w:type="spellEnd"/>
      <w:r w:rsidRPr="00677C6A">
        <w:t xml:space="preserve"> </w:t>
      </w:r>
      <w:proofErr w:type="spellStart"/>
      <w:r w:rsidRPr="00677C6A">
        <w:t>falsk</w:t>
      </w:r>
      <w:proofErr w:type="spellEnd"/>
      <w:r w:rsidRPr="00677C6A">
        <w:t xml:space="preserve">-positive </w:t>
      </w:r>
      <w:proofErr w:type="spellStart"/>
      <w:r w:rsidRPr="00677C6A">
        <w:t>forhøjede</w:t>
      </w:r>
      <w:proofErr w:type="spellEnd"/>
      <w:r w:rsidRPr="00677C6A">
        <w:t xml:space="preserve"> INR-</w:t>
      </w:r>
      <w:proofErr w:type="spellStart"/>
      <w:r w:rsidRPr="00677C6A">
        <w:t>værdier</w:t>
      </w:r>
      <w:proofErr w:type="spellEnd"/>
      <w:r w:rsidRPr="00677C6A">
        <w:t xml:space="preserve">. </w:t>
      </w:r>
      <w:proofErr w:type="spellStart"/>
      <w:r w:rsidRPr="00677C6A">
        <w:t>Derfor</w:t>
      </w:r>
      <w:proofErr w:type="spellEnd"/>
      <w:r w:rsidRPr="00677C6A">
        <w:t xml:space="preserve"> </w:t>
      </w:r>
      <w:proofErr w:type="spellStart"/>
      <w:r w:rsidRPr="00677C6A">
        <w:t>bør</w:t>
      </w:r>
      <w:proofErr w:type="spellEnd"/>
      <w:r w:rsidRPr="00677C6A">
        <w:t xml:space="preserve"> INR-</w:t>
      </w:r>
      <w:proofErr w:type="spellStart"/>
      <w:r w:rsidRPr="00677C6A">
        <w:t>værdier</w:t>
      </w:r>
      <w:proofErr w:type="spellEnd"/>
      <w:r w:rsidRPr="00677C6A">
        <w:t xml:space="preserve"> </w:t>
      </w:r>
      <w:proofErr w:type="spellStart"/>
      <w:r w:rsidRPr="00677C6A">
        <w:t>ikke</w:t>
      </w:r>
      <w:proofErr w:type="spellEnd"/>
      <w:r w:rsidRPr="00677C6A">
        <w:t xml:space="preserve"> </w:t>
      </w:r>
      <w:proofErr w:type="spellStart"/>
      <w:r w:rsidRPr="00677C6A">
        <w:t>måles</w:t>
      </w:r>
      <w:proofErr w:type="spellEnd"/>
      <w:r w:rsidRPr="00677C6A">
        <w:t>.</w:t>
      </w:r>
    </w:p>
    <w:p w14:paraId="18B3FDBB" w14:textId="30DD02E0" w:rsidR="00657EB2" w:rsidRPr="008A21E8" w:rsidRDefault="00213E1E" w:rsidP="00213E1E">
      <w:pPr>
        <w:rPr>
          <w:lang w:val="da-DK"/>
        </w:rPr>
      </w:pPr>
      <w:r w:rsidRPr="00677C6A">
        <w:t xml:space="preserve">• </w:t>
      </w:r>
      <w:proofErr w:type="spellStart"/>
      <w:r w:rsidRPr="00677C6A">
        <w:t>Bestemmelse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trombintid</w:t>
      </w:r>
      <w:proofErr w:type="spellEnd"/>
      <w:r w:rsidRPr="00677C6A">
        <w:t xml:space="preserve"> i </w:t>
      </w:r>
      <w:proofErr w:type="spellStart"/>
      <w:r w:rsidRPr="00677C6A">
        <w:t>fortyndede</w:t>
      </w:r>
      <w:proofErr w:type="spellEnd"/>
      <w:r w:rsidRPr="00677C6A">
        <w:t xml:space="preserve"> </w:t>
      </w:r>
      <w:proofErr w:type="spellStart"/>
      <w:r w:rsidRPr="00677C6A">
        <w:t>plasmaprøver</w:t>
      </w:r>
      <w:proofErr w:type="spellEnd"/>
      <w:r w:rsidRPr="00677C6A">
        <w:t xml:space="preserve"> (</w:t>
      </w:r>
      <w:proofErr w:type="spellStart"/>
      <w:r w:rsidRPr="00677C6A">
        <w:t>dTT</w:t>
      </w:r>
      <w:proofErr w:type="spellEnd"/>
      <w:r w:rsidRPr="00677C6A">
        <w:t xml:space="preserve">), </w:t>
      </w:r>
      <w:proofErr w:type="spellStart"/>
      <w:r w:rsidRPr="00677C6A">
        <w:t>ecarinkoagulationstid</w:t>
      </w:r>
      <w:proofErr w:type="spellEnd"/>
      <w:r w:rsidRPr="00677C6A">
        <w:t xml:space="preserve"> (ECT)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aktiveret</w:t>
      </w:r>
      <w:proofErr w:type="spellEnd"/>
      <w:r w:rsidRPr="00677C6A">
        <w:t xml:space="preserve"> </w:t>
      </w:r>
      <w:proofErr w:type="spellStart"/>
      <w:r w:rsidRPr="00677C6A">
        <w:t>partiel</w:t>
      </w:r>
      <w:proofErr w:type="spellEnd"/>
      <w:r w:rsidRPr="00677C6A">
        <w:t xml:space="preserve"> </w:t>
      </w:r>
      <w:proofErr w:type="spellStart"/>
      <w:r w:rsidRPr="00677C6A">
        <w:t>tromboplastintid</w:t>
      </w:r>
      <w:proofErr w:type="spellEnd"/>
      <w:r w:rsidRPr="00677C6A">
        <w:t xml:space="preserve"> (</w:t>
      </w:r>
      <w:proofErr w:type="spellStart"/>
      <w:r w:rsidRPr="00677C6A">
        <w:t>aPTT</w:t>
      </w:r>
      <w:proofErr w:type="spellEnd"/>
      <w:r w:rsidRPr="00677C6A">
        <w:t xml:space="preserve">) </w:t>
      </w:r>
      <w:proofErr w:type="spellStart"/>
      <w:r w:rsidRPr="00677C6A">
        <w:t>kan</w:t>
      </w:r>
      <w:proofErr w:type="spellEnd"/>
      <w:r w:rsidRPr="00677C6A">
        <w:t xml:space="preserve"> </w:t>
      </w:r>
      <w:proofErr w:type="spellStart"/>
      <w:r w:rsidRPr="00677C6A">
        <w:t>være</w:t>
      </w:r>
      <w:proofErr w:type="spellEnd"/>
      <w:r w:rsidRPr="00677C6A">
        <w:t xml:space="preserve"> </w:t>
      </w:r>
      <w:proofErr w:type="spellStart"/>
      <w:r w:rsidRPr="00677C6A">
        <w:t>nyttige</w:t>
      </w:r>
      <w:proofErr w:type="spellEnd"/>
      <w:r w:rsidRPr="00677C6A">
        <w:t xml:space="preserve">, </w:t>
      </w:r>
      <w:proofErr w:type="spellStart"/>
      <w:r w:rsidRPr="00677C6A">
        <w:t>men</w:t>
      </w:r>
      <w:proofErr w:type="spellEnd"/>
      <w:r w:rsidRPr="00677C6A">
        <w:t xml:space="preserve"> </w:t>
      </w:r>
      <w:proofErr w:type="spellStart"/>
      <w:r w:rsidRPr="00677C6A">
        <w:t>resultaterne</w:t>
      </w:r>
      <w:proofErr w:type="spellEnd"/>
      <w:r w:rsidRPr="00677C6A">
        <w:t xml:space="preserve"> </w:t>
      </w:r>
      <w:proofErr w:type="spellStart"/>
      <w:r w:rsidRPr="00677C6A">
        <w:t>skal</w:t>
      </w:r>
      <w:proofErr w:type="spellEnd"/>
      <w:r w:rsidRPr="00677C6A">
        <w:t xml:space="preserve"> </w:t>
      </w:r>
      <w:proofErr w:type="spellStart"/>
      <w:r w:rsidRPr="00677C6A">
        <w:t>fortolkes</w:t>
      </w:r>
      <w:proofErr w:type="spellEnd"/>
      <w:r w:rsidRPr="00677C6A">
        <w:t xml:space="preserve"> med </w:t>
      </w:r>
      <w:proofErr w:type="spellStart"/>
      <w:r w:rsidRPr="00677C6A">
        <w:t>forsigtighed</w:t>
      </w:r>
      <w:proofErr w:type="spellEnd"/>
      <w:r w:rsidRPr="00677C6A">
        <w:t xml:space="preserve"> </w:t>
      </w:r>
      <w:proofErr w:type="spellStart"/>
      <w:r w:rsidRPr="00677C6A">
        <w:t>på</w:t>
      </w:r>
      <w:proofErr w:type="spellEnd"/>
      <w:r w:rsidRPr="00677C6A">
        <w:t xml:space="preserve"> </w:t>
      </w:r>
      <w:proofErr w:type="spellStart"/>
      <w:r w:rsidRPr="00677C6A">
        <w:t>grund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variabilitet</w:t>
      </w:r>
      <w:proofErr w:type="spellEnd"/>
      <w:r w:rsidRPr="00677C6A">
        <w:t xml:space="preserve"> </w:t>
      </w:r>
      <w:proofErr w:type="spellStart"/>
      <w:r w:rsidRPr="00677C6A">
        <w:t>mellem</w:t>
      </w:r>
      <w:proofErr w:type="spellEnd"/>
      <w:r w:rsidRPr="00677C6A">
        <w:t xml:space="preserve"> </w:t>
      </w:r>
      <w:proofErr w:type="spellStart"/>
      <w:r w:rsidRPr="00677C6A">
        <w:t>testene</w:t>
      </w:r>
      <w:proofErr w:type="spellEnd"/>
      <w:r w:rsidRPr="00677C6A">
        <w:t>.</w:t>
      </w:r>
    </w:p>
    <w:p w14:paraId="1903A170" w14:textId="6AAE76A8" w:rsidR="00213E1E" w:rsidRPr="008A21E8" w:rsidRDefault="00213E1E" w:rsidP="00657EB2">
      <w:pPr>
        <w:rPr>
          <w:lang w:val="da-DK"/>
        </w:rPr>
      </w:pPr>
    </w:p>
    <w:p w14:paraId="420B00BE" w14:textId="52BDEC22" w:rsidR="00213E1E" w:rsidRPr="008A21E8" w:rsidRDefault="00213E1E" w:rsidP="00213E1E">
      <w:pPr>
        <w:rPr>
          <w:lang w:val="da-DK"/>
        </w:rPr>
      </w:pPr>
      <w:proofErr w:type="spellStart"/>
      <w:r w:rsidRPr="00677C6A">
        <w:rPr>
          <w:b/>
          <w:bCs/>
        </w:rPr>
        <w:t>Bestemmelsestidspunkt</w:t>
      </w:r>
      <w:proofErr w:type="spellEnd"/>
      <w:r w:rsidRPr="00677C6A">
        <w:rPr>
          <w:b/>
          <w:bCs/>
        </w:rPr>
        <w:t>:</w:t>
      </w:r>
      <w:r w:rsidRPr="00677C6A">
        <w:t xml:space="preserve"> </w:t>
      </w:r>
      <w:proofErr w:type="spellStart"/>
      <w:r w:rsidRPr="00677C6A">
        <w:t>Koagulationsparametre</w:t>
      </w:r>
      <w:proofErr w:type="spellEnd"/>
      <w:r w:rsidRPr="00677C6A">
        <w:t xml:space="preserve"> </w:t>
      </w:r>
      <w:proofErr w:type="spellStart"/>
      <w:r w:rsidRPr="00677C6A">
        <w:t>afhænger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tidspunktet</w:t>
      </w:r>
      <w:proofErr w:type="spellEnd"/>
      <w:r w:rsidRPr="00677C6A">
        <w:t xml:space="preserve"> </w:t>
      </w:r>
      <w:proofErr w:type="spellStart"/>
      <w:r w:rsidRPr="00677C6A">
        <w:t>for</w:t>
      </w:r>
      <w:proofErr w:type="spellEnd"/>
      <w:r w:rsidRPr="00677C6A">
        <w:t xml:space="preserve"> </w:t>
      </w:r>
      <w:proofErr w:type="spellStart"/>
      <w:r w:rsidRPr="00677C6A">
        <w:t>blodprøvetagning</w:t>
      </w:r>
      <w:proofErr w:type="spellEnd"/>
      <w:r w:rsidRPr="00677C6A">
        <w:t xml:space="preserve">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tidspunktet</w:t>
      </w:r>
      <w:proofErr w:type="spellEnd"/>
      <w:r w:rsidRPr="00677C6A">
        <w:t xml:space="preserve"> </w:t>
      </w:r>
      <w:proofErr w:type="spellStart"/>
      <w:r w:rsidRPr="00677C6A">
        <w:t>for</w:t>
      </w:r>
      <w:proofErr w:type="spellEnd"/>
      <w:r w:rsidRPr="00677C6A">
        <w:t xml:space="preserve"> den </w:t>
      </w:r>
      <w:proofErr w:type="spellStart"/>
      <w:r w:rsidRPr="00677C6A">
        <w:t>sidste</w:t>
      </w:r>
      <w:proofErr w:type="spellEnd"/>
      <w:r w:rsidRPr="00677C6A">
        <w:t xml:space="preserve"> </w:t>
      </w:r>
      <w:proofErr w:type="spellStart"/>
      <w:r w:rsidRPr="00677C6A">
        <w:t>dosis</w:t>
      </w:r>
      <w:proofErr w:type="spellEnd"/>
      <w:r w:rsidRPr="00677C6A">
        <w:t xml:space="preserve">. En </w:t>
      </w:r>
      <w:proofErr w:type="spellStart"/>
      <w:r w:rsidRPr="00677C6A">
        <w:t>blodprøve</w:t>
      </w:r>
      <w:proofErr w:type="spellEnd"/>
      <w:r w:rsidRPr="00677C6A">
        <w:t xml:space="preserve"> taget 2 </w:t>
      </w:r>
      <w:proofErr w:type="spellStart"/>
      <w:r w:rsidRPr="00677C6A">
        <w:t>timer</w:t>
      </w:r>
      <w:proofErr w:type="spellEnd"/>
      <w:r w:rsidRPr="00677C6A">
        <w:t xml:space="preserve"> </w:t>
      </w:r>
      <w:proofErr w:type="spellStart"/>
      <w:r w:rsidRPr="00677C6A">
        <w:t>efter</w:t>
      </w:r>
      <w:proofErr w:type="spellEnd"/>
      <w:r w:rsidRPr="00677C6A">
        <w:t xml:space="preserve"> </w:t>
      </w:r>
      <w:proofErr w:type="spellStart"/>
      <w:r w:rsidRPr="00677C6A">
        <w:t>indtagelse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dabigatranetexilat</w:t>
      </w:r>
      <w:proofErr w:type="spellEnd"/>
      <w:r w:rsidRPr="00677C6A">
        <w:t xml:space="preserve"> (~</w:t>
      </w:r>
      <w:proofErr w:type="spellStart"/>
      <w:r w:rsidRPr="00677C6A">
        <w:t>peak</w:t>
      </w:r>
      <w:proofErr w:type="spellEnd"/>
      <w:r w:rsidRPr="00677C6A">
        <w:t xml:space="preserve">) </w:t>
      </w:r>
      <w:proofErr w:type="spellStart"/>
      <w:r w:rsidRPr="00677C6A">
        <w:t>vil</w:t>
      </w:r>
      <w:proofErr w:type="spellEnd"/>
      <w:r w:rsidRPr="00677C6A">
        <w:t xml:space="preserve"> </w:t>
      </w:r>
      <w:proofErr w:type="spellStart"/>
      <w:r w:rsidRPr="00677C6A">
        <w:t>give</w:t>
      </w:r>
      <w:proofErr w:type="spellEnd"/>
      <w:r w:rsidRPr="00677C6A">
        <w:t xml:space="preserve"> </w:t>
      </w:r>
      <w:proofErr w:type="spellStart"/>
      <w:r w:rsidRPr="00677C6A">
        <w:t>forskellige</w:t>
      </w:r>
      <w:proofErr w:type="spellEnd"/>
      <w:r w:rsidRPr="00677C6A">
        <w:t xml:space="preserve"> (</w:t>
      </w:r>
      <w:proofErr w:type="spellStart"/>
      <w:r w:rsidRPr="00677C6A">
        <w:t>højere</w:t>
      </w:r>
      <w:proofErr w:type="spellEnd"/>
      <w:r w:rsidRPr="00677C6A">
        <w:t xml:space="preserve">) </w:t>
      </w:r>
      <w:proofErr w:type="spellStart"/>
      <w:r w:rsidRPr="00677C6A">
        <w:t>resultater</w:t>
      </w:r>
      <w:proofErr w:type="spellEnd"/>
      <w:r w:rsidRPr="00677C6A">
        <w:t xml:space="preserve"> i alle </w:t>
      </w:r>
      <w:proofErr w:type="spellStart"/>
      <w:r w:rsidRPr="00677C6A">
        <w:t>koagulationstest</w:t>
      </w:r>
      <w:proofErr w:type="spellEnd"/>
      <w:r w:rsidRPr="00677C6A">
        <w:t xml:space="preserve"> end en </w:t>
      </w:r>
      <w:proofErr w:type="spellStart"/>
      <w:r w:rsidRPr="00677C6A">
        <w:t>blodprøve</w:t>
      </w:r>
      <w:proofErr w:type="spellEnd"/>
      <w:r w:rsidRPr="00677C6A">
        <w:t xml:space="preserve"> taget 10-16 </w:t>
      </w:r>
      <w:proofErr w:type="spellStart"/>
      <w:r w:rsidRPr="00677C6A">
        <w:t>timer</w:t>
      </w:r>
      <w:proofErr w:type="spellEnd"/>
      <w:r w:rsidRPr="00677C6A">
        <w:t xml:space="preserve"> (</w:t>
      </w:r>
      <w:proofErr w:type="spellStart"/>
      <w:r w:rsidRPr="00677C6A">
        <w:t>dalværdi</w:t>
      </w:r>
      <w:proofErr w:type="spellEnd"/>
      <w:r w:rsidRPr="00677C6A">
        <w:t xml:space="preserve">) </w:t>
      </w:r>
      <w:proofErr w:type="spellStart"/>
      <w:r w:rsidRPr="00677C6A">
        <w:t>efter</w:t>
      </w:r>
      <w:proofErr w:type="spellEnd"/>
      <w:r w:rsidRPr="00677C6A">
        <w:t xml:space="preserve"> </w:t>
      </w:r>
      <w:proofErr w:type="spellStart"/>
      <w:r w:rsidRPr="00677C6A">
        <w:t>administration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samme</w:t>
      </w:r>
      <w:proofErr w:type="spellEnd"/>
      <w:r w:rsidRPr="00677C6A">
        <w:t xml:space="preserve"> </w:t>
      </w:r>
      <w:proofErr w:type="spellStart"/>
      <w:r w:rsidRPr="00677C6A">
        <w:t>dosis</w:t>
      </w:r>
      <w:proofErr w:type="spellEnd"/>
      <w:r w:rsidRPr="00677C6A">
        <w:t>.</w:t>
      </w:r>
    </w:p>
    <w:p w14:paraId="000B1EF0" w14:textId="77777777" w:rsidR="003F2CEE" w:rsidRPr="008A21E8" w:rsidRDefault="003F2CEE" w:rsidP="004567E9">
      <w:pPr>
        <w:rPr>
          <w:lang w:val="da-DK"/>
        </w:rPr>
      </w:pPr>
    </w:p>
    <w:p w14:paraId="60737C55" w14:textId="4368D24B" w:rsidR="00754B62" w:rsidRPr="008A21E8" w:rsidRDefault="003F2CEE" w:rsidP="004567E9">
      <w:pPr>
        <w:rPr>
          <w:b/>
          <w:bCs/>
          <w:sz w:val="28"/>
          <w:szCs w:val="28"/>
          <w:vertAlign w:val="superscript"/>
          <w:lang w:val="da-DK"/>
        </w:rPr>
      </w:pPr>
      <w:r w:rsidRPr="00677C6A">
        <w:rPr>
          <w:b/>
          <w:bCs/>
          <w:sz w:val="28"/>
          <w:szCs w:val="28"/>
        </w:rPr>
        <w:t>Overdosis</w:t>
      </w:r>
      <w:r w:rsidRPr="008A21E8">
        <w:rPr>
          <w:b/>
          <w:bCs/>
          <w:sz w:val="28"/>
          <w:szCs w:val="28"/>
          <w:vertAlign w:val="superscript"/>
        </w:rPr>
        <w:t>2,3</w:t>
      </w:r>
    </w:p>
    <w:p w14:paraId="1B28F483" w14:textId="5A23ED7C" w:rsidR="003F2CEE" w:rsidRPr="008A21E8" w:rsidRDefault="00294F05" w:rsidP="003F2CEE">
      <w:pPr>
        <w:rPr>
          <w:lang w:val="da-DK"/>
        </w:rPr>
      </w:pPr>
      <w:proofErr w:type="spellStart"/>
      <w:r w:rsidRPr="00294F05">
        <w:t>Hvis</w:t>
      </w:r>
      <w:proofErr w:type="spellEnd"/>
      <w:r w:rsidRPr="00294F05">
        <w:t xml:space="preserve"> der er </w:t>
      </w:r>
      <w:proofErr w:type="spellStart"/>
      <w:r w:rsidRPr="00294F05">
        <w:t>mistanke</w:t>
      </w:r>
      <w:proofErr w:type="spellEnd"/>
      <w:r w:rsidRPr="00294F05">
        <w:t xml:space="preserve"> </w:t>
      </w:r>
      <w:proofErr w:type="spellStart"/>
      <w:r w:rsidRPr="00294F05">
        <w:t>om</w:t>
      </w:r>
      <w:proofErr w:type="spellEnd"/>
      <w:r w:rsidRPr="00294F05">
        <w:t xml:space="preserve"> en </w:t>
      </w:r>
      <w:proofErr w:type="spellStart"/>
      <w:r w:rsidRPr="00294F05">
        <w:t>overdosis</w:t>
      </w:r>
      <w:proofErr w:type="spellEnd"/>
      <w:r w:rsidRPr="00294F05">
        <w:t xml:space="preserve">, </w:t>
      </w:r>
      <w:proofErr w:type="spellStart"/>
      <w:r w:rsidRPr="00294F05">
        <w:t>kan</w:t>
      </w:r>
      <w:proofErr w:type="spellEnd"/>
      <w:r w:rsidRPr="00294F05">
        <w:t xml:space="preserve"> </w:t>
      </w:r>
      <w:proofErr w:type="spellStart"/>
      <w:r w:rsidRPr="00294F05">
        <w:t>udførelse</w:t>
      </w:r>
      <w:proofErr w:type="spellEnd"/>
      <w:r w:rsidRPr="00294F05">
        <w:t xml:space="preserve"> </w:t>
      </w:r>
      <w:proofErr w:type="spellStart"/>
      <w:r w:rsidRPr="00294F05">
        <w:t>af</w:t>
      </w:r>
      <w:proofErr w:type="spellEnd"/>
      <w:r w:rsidRPr="00294F05">
        <w:t xml:space="preserve"> </w:t>
      </w:r>
      <w:proofErr w:type="spellStart"/>
      <w:r w:rsidRPr="00294F05">
        <w:t>koagulationstest</w:t>
      </w:r>
      <w:proofErr w:type="spellEnd"/>
      <w:r w:rsidRPr="00294F05">
        <w:t xml:space="preserve"> </w:t>
      </w:r>
      <w:proofErr w:type="spellStart"/>
      <w:r w:rsidRPr="00294F05">
        <w:t>hjælpe</w:t>
      </w:r>
      <w:proofErr w:type="spellEnd"/>
      <w:r w:rsidRPr="00294F05">
        <w:t xml:space="preserve"> med at </w:t>
      </w:r>
      <w:proofErr w:type="spellStart"/>
      <w:r w:rsidRPr="00294F05">
        <w:t>vurdere</w:t>
      </w:r>
      <w:proofErr w:type="spellEnd"/>
      <w:r w:rsidRPr="00294F05">
        <w:t xml:space="preserve"> </w:t>
      </w:r>
      <w:proofErr w:type="spellStart"/>
      <w:r w:rsidRPr="00294F05">
        <w:t>risikoen</w:t>
      </w:r>
      <w:proofErr w:type="spellEnd"/>
      <w:r w:rsidRPr="00294F05">
        <w:t xml:space="preserve"> </w:t>
      </w:r>
      <w:proofErr w:type="spellStart"/>
      <w:r w:rsidRPr="00294F05">
        <w:t>for</w:t>
      </w:r>
      <w:proofErr w:type="spellEnd"/>
      <w:r w:rsidRPr="00294F05">
        <w:t xml:space="preserve"> </w:t>
      </w:r>
      <w:proofErr w:type="spellStart"/>
      <w:r w:rsidRPr="00294F05">
        <w:t>blødning</w:t>
      </w:r>
      <w:proofErr w:type="spellEnd"/>
      <w:r w:rsidRPr="00294F05">
        <w:t xml:space="preserve">. </w:t>
      </w:r>
      <w:proofErr w:type="spellStart"/>
      <w:r w:rsidR="00C04718">
        <w:t>Overdreven</w:t>
      </w:r>
      <w:proofErr w:type="spellEnd"/>
      <w:r w:rsidR="00C04718">
        <w:t xml:space="preserve"> </w:t>
      </w:r>
      <w:proofErr w:type="spellStart"/>
      <w:r w:rsidR="00C04718">
        <w:t>forbrug</w:t>
      </w:r>
      <w:proofErr w:type="spellEnd"/>
      <w:r w:rsidR="00C04718">
        <w:t xml:space="preserve"> </w:t>
      </w:r>
      <w:proofErr w:type="spellStart"/>
      <w:r w:rsidRPr="00294F05">
        <w:t>af</w:t>
      </w:r>
      <w:proofErr w:type="spellEnd"/>
      <w:r w:rsidRPr="00294F05">
        <w:t xml:space="preserve"> </w:t>
      </w:r>
      <w:proofErr w:type="spellStart"/>
      <w:r w:rsidRPr="00294F05">
        <w:t>antikoagulering</w:t>
      </w:r>
      <w:proofErr w:type="spellEnd"/>
      <w:r w:rsidRPr="00294F05">
        <w:t xml:space="preserve"> </w:t>
      </w:r>
      <w:proofErr w:type="spellStart"/>
      <w:r w:rsidRPr="00294F05">
        <w:t>kan</w:t>
      </w:r>
      <w:proofErr w:type="spellEnd"/>
      <w:r w:rsidRPr="00294F05">
        <w:t xml:space="preserve"> </w:t>
      </w:r>
      <w:proofErr w:type="spellStart"/>
      <w:r w:rsidRPr="00294F05">
        <w:t>betyde</w:t>
      </w:r>
      <w:proofErr w:type="spellEnd"/>
      <w:r w:rsidRPr="00294F05">
        <w:t xml:space="preserve">, at </w:t>
      </w:r>
      <w:proofErr w:type="spellStart"/>
      <w:r w:rsidRPr="00294F05">
        <w:t>behandlingen</w:t>
      </w:r>
      <w:proofErr w:type="spellEnd"/>
      <w:r w:rsidRPr="00294F05">
        <w:t xml:space="preserve"> med </w:t>
      </w:r>
      <w:proofErr w:type="spellStart"/>
      <w:r w:rsidRPr="00294F05">
        <w:t>dabigatranetexilat</w:t>
      </w:r>
      <w:proofErr w:type="spellEnd"/>
      <w:r w:rsidRPr="00294F05">
        <w:t xml:space="preserve"> </w:t>
      </w:r>
      <w:proofErr w:type="spellStart"/>
      <w:r w:rsidRPr="00294F05">
        <w:t>skal</w:t>
      </w:r>
      <w:proofErr w:type="spellEnd"/>
      <w:r w:rsidRPr="00294F05">
        <w:t xml:space="preserve"> </w:t>
      </w:r>
      <w:proofErr w:type="spellStart"/>
      <w:r w:rsidRPr="00294F05">
        <w:t>seponeres</w:t>
      </w:r>
      <w:proofErr w:type="spellEnd"/>
      <w:r w:rsidR="007301EF" w:rsidRPr="00677C6A">
        <w:t xml:space="preserve">. Da </w:t>
      </w:r>
      <w:proofErr w:type="spellStart"/>
      <w:r w:rsidR="007301EF" w:rsidRPr="00677C6A">
        <w:t>dabigatran</w:t>
      </w:r>
      <w:proofErr w:type="spellEnd"/>
      <w:r w:rsidR="007301EF" w:rsidRPr="00677C6A">
        <w:t xml:space="preserve"> </w:t>
      </w:r>
      <w:proofErr w:type="spellStart"/>
      <w:r w:rsidR="007301EF" w:rsidRPr="00677C6A">
        <w:t>overvejende</w:t>
      </w:r>
      <w:proofErr w:type="spellEnd"/>
      <w:r w:rsidR="007301EF" w:rsidRPr="00677C6A">
        <w:t xml:space="preserve"> </w:t>
      </w:r>
      <w:proofErr w:type="spellStart"/>
      <w:r w:rsidR="007301EF" w:rsidRPr="00677C6A">
        <w:t>udskilles</w:t>
      </w:r>
      <w:proofErr w:type="spellEnd"/>
      <w:r w:rsidR="007301EF" w:rsidRPr="00677C6A">
        <w:t xml:space="preserve"> </w:t>
      </w:r>
      <w:proofErr w:type="spellStart"/>
      <w:r w:rsidR="007301EF" w:rsidRPr="00677C6A">
        <w:t>renalt</w:t>
      </w:r>
      <w:proofErr w:type="spellEnd"/>
      <w:r w:rsidR="007301EF" w:rsidRPr="00677C6A">
        <w:t xml:space="preserve">, </w:t>
      </w:r>
      <w:proofErr w:type="spellStart"/>
      <w:r w:rsidR="007301EF" w:rsidRPr="00677C6A">
        <w:t>skal</w:t>
      </w:r>
      <w:proofErr w:type="spellEnd"/>
      <w:r w:rsidR="007301EF" w:rsidRPr="00677C6A">
        <w:t xml:space="preserve"> der </w:t>
      </w:r>
      <w:proofErr w:type="spellStart"/>
      <w:r w:rsidR="007301EF" w:rsidRPr="00677C6A">
        <w:t>sikres</w:t>
      </w:r>
      <w:proofErr w:type="spellEnd"/>
      <w:r w:rsidR="007301EF" w:rsidRPr="00677C6A">
        <w:t xml:space="preserve"> </w:t>
      </w:r>
      <w:proofErr w:type="spellStart"/>
      <w:r w:rsidR="007301EF" w:rsidRPr="00677C6A">
        <w:t>tilstrækkelig</w:t>
      </w:r>
      <w:proofErr w:type="spellEnd"/>
      <w:r w:rsidR="007301EF" w:rsidRPr="00677C6A">
        <w:t xml:space="preserve"> </w:t>
      </w:r>
      <w:proofErr w:type="spellStart"/>
      <w:r w:rsidR="007301EF" w:rsidRPr="00677C6A">
        <w:t>diurese</w:t>
      </w:r>
      <w:proofErr w:type="spellEnd"/>
      <w:r w:rsidR="007301EF" w:rsidRPr="00677C6A">
        <w:t xml:space="preserve">. </w:t>
      </w:r>
      <w:proofErr w:type="spellStart"/>
      <w:r w:rsidR="007301EF" w:rsidRPr="00677C6A">
        <w:t>På</w:t>
      </w:r>
      <w:proofErr w:type="spellEnd"/>
      <w:r w:rsidR="007301EF" w:rsidRPr="00677C6A">
        <w:t xml:space="preserve"> </w:t>
      </w:r>
      <w:proofErr w:type="spellStart"/>
      <w:r w:rsidR="007301EF" w:rsidRPr="00677C6A">
        <w:t>grund</w:t>
      </w:r>
      <w:proofErr w:type="spellEnd"/>
      <w:r w:rsidR="007301EF" w:rsidRPr="00677C6A">
        <w:t xml:space="preserve"> </w:t>
      </w:r>
      <w:proofErr w:type="spellStart"/>
      <w:r w:rsidR="007301EF" w:rsidRPr="00677C6A">
        <w:t>af</w:t>
      </w:r>
      <w:proofErr w:type="spellEnd"/>
      <w:r w:rsidR="007301EF" w:rsidRPr="00677C6A">
        <w:t xml:space="preserve"> den </w:t>
      </w:r>
      <w:proofErr w:type="spellStart"/>
      <w:r w:rsidR="007301EF" w:rsidRPr="00677C6A">
        <w:t>lave</w:t>
      </w:r>
      <w:proofErr w:type="spellEnd"/>
      <w:r w:rsidR="007301EF" w:rsidRPr="00677C6A">
        <w:t xml:space="preserve"> </w:t>
      </w:r>
      <w:proofErr w:type="spellStart"/>
      <w:r w:rsidR="007301EF" w:rsidRPr="00677C6A">
        <w:t>plasmabinding</w:t>
      </w:r>
      <w:proofErr w:type="spellEnd"/>
      <w:r w:rsidR="007301EF" w:rsidRPr="00677C6A">
        <w:t xml:space="preserve"> er </w:t>
      </w:r>
      <w:proofErr w:type="spellStart"/>
      <w:r w:rsidR="007301EF" w:rsidRPr="00677C6A">
        <w:t>dabigatran</w:t>
      </w:r>
      <w:proofErr w:type="spellEnd"/>
      <w:r w:rsidR="007301EF" w:rsidRPr="00677C6A">
        <w:t xml:space="preserve"> </w:t>
      </w:r>
      <w:proofErr w:type="spellStart"/>
      <w:r w:rsidR="007301EF" w:rsidRPr="00677C6A">
        <w:t>dialyserbar</w:t>
      </w:r>
      <w:proofErr w:type="spellEnd"/>
      <w:r w:rsidR="007301EF" w:rsidRPr="00677C6A">
        <w:t xml:space="preserve">; Der er </w:t>
      </w:r>
      <w:proofErr w:type="spellStart"/>
      <w:r w:rsidR="007301EF" w:rsidRPr="00677C6A">
        <w:t>begrænset</w:t>
      </w:r>
      <w:proofErr w:type="spellEnd"/>
      <w:r w:rsidR="007301EF" w:rsidRPr="00677C6A">
        <w:t xml:space="preserve"> </w:t>
      </w:r>
      <w:proofErr w:type="spellStart"/>
      <w:r w:rsidR="007301EF" w:rsidRPr="00677C6A">
        <w:t>klinisk</w:t>
      </w:r>
      <w:proofErr w:type="spellEnd"/>
      <w:r w:rsidR="007301EF" w:rsidRPr="00677C6A">
        <w:t xml:space="preserve"> </w:t>
      </w:r>
      <w:proofErr w:type="spellStart"/>
      <w:r w:rsidR="007301EF" w:rsidRPr="00677C6A">
        <w:t>erfaring</w:t>
      </w:r>
      <w:proofErr w:type="spellEnd"/>
      <w:r w:rsidR="007301EF" w:rsidRPr="00677C6A">
        <w:t xml:space="preserve">, der </w:t>
      </w:r>
      <w:proofErr w:type="spellStart"/>
      <w:r w:rsidR="007301EF" w:rsidRPr="00677C6A">
        <w:t>viser</w:t>
      </w:r>
      <w:proofErr w:type="spellEnd"/>
      <w:r w:rsidR="007301EF" w:rsidRPr="00677C6A">
        <w:t xml:space="preserve"> </w:t>
      </w:r>
      <w:proofErr w:type="spellStart"/>
      <w:r w:rsidR="007301EF" w:rsidRPr="00677C6A">
        <w:t>fordelene</w:t>
      </w:r>
      <w:proofErr w:type="spellEnd"/>
      <w:r w:rsidR="007301EF" w:rsidRPr="00677C6A">
        <w:t xml:space="preserve"> </w:t>
      </w:r>
      <w:proofErr w:type="spellStart"/>
      <w:r w:rsidR="007301EF" w:rsidRPr="00677C6A">
        <w:t>ved</w:t>
      </w:r>
      <w:proofErr w:type="spellEnd"/>
      <w:r w:rsidR="007301EF" w:rsidRPr="00677C6A">
        <w:t xml:space="preserve"> </w:t>
      </w:r>
      <w:proofErr w:type="spellStart"/>
      <w:r w:rsidR="007301EF" w:rsidRPr="00677C6A">
        <w:t>denne</w:t>
      </w:r>
      <w:proofErr w:type="spellEnd"/>
      <w:r w:rsidR="007301EF" w:rsidRPr="00677C6A">
        <w:t xml:space="preserve"> </w:t>
      </w:r>
      <w:proofErr w:type="spellStart"/>
      <w:r w:rsidR="007301EF" w:rsidRPr="00677C6A">
        <w:t>tilgang</w:t>
      </w:r>
      <w:proofErr w:type="spellEnd"/>
      <w:r w:rsidR="007301EF" w:rsidRPr="00677C6A">
        <w:t xml:space="preserve"> i </w:t>
      </w:r>
      <w:proofErr w:type="spellStart"/>
      <w:r w:rsidR="007301EF" w:rsidRPr="00677C6A">
        <w:t>kliniske</w:t>
      </w:r>
      <w:proofErr w:type="spellEnd"/>
      <w:r w:rsidR="007301EF" w:rsidRPr="00677C6A">
        <w:t xml:space="preserve"> </w:t>
      </w:r>
      <w:proofErr w:type="spellStart"/>
      <w:r w:rsidR="007301EF" w:rsidRPr="00677C6A">
        <w:t>forsøg</w:t>
      </w:r>
      <w:proofErr w:type="spellEnd"/>
      <w:r w:rsidR="007301EF" w:rsidRPr="00677C6A">
        <w:t xml:space="preserve">. </w:t>
      </w:r>
      <w:proofErr w:type="spellStart"/>
      <w:r w:rsidR="007301EF" w:rsidRPr="00677C6A">
        <w:t>Overdosering</w:t>
      </w:r>
      <w:proofErr w:type="spellEnd"/>
      <w:r w:rsidR="007301EF" w:rsidRPr="00677C6A">
        <w:t xml:space="preserve"> </w:t>
      </w:r>
      <w:proofErr w:type="spellStart"/>
      <w:r w:rsidR="007301EF" w:rsidRPr="00677C6A">
        <w:t>af</w:t>
      </w:r>
      <w:proofErr w:type="spellEnd"/>
      <w:r w:rsidR="007301EF" w:rsidRPr="00677C6A">
        <w:t xml:space="preserve"> </w:t>
      </w:r>
      <w:proofErr w:type="spellStart"/>
      <w:r w:rsidR="007301EF" w:rsidRPr="00677C6A">
        <w:t>dabigatranetexilat</w:t>
      </w:r>
      <w:proofErr w:type="spellEnd"/>
      <w:r w:rsidR="007301EF" w:rsidRPr="00677C6A">
        <w:t xml:space="preserve"> </w:t>
      </w:r>
      <w:proofErr w:type="spellStart"/>
      <w:r w:rsidR="007301EF" w:rsidRPr="00677C6A">
        <w:t>kan</w:t>
      </w:r>
      <w:proofErr w:type="spellEnd"/>
      <w:r w:rsidR="007301EF" w:rsidRPr="00677C6A">
        <w:t xml:space="preserve"> </w:t>
      </w:r>
      <w:proofErr w:type="spellStart"/>
      <w:r w:rsidR="007301EF" w:rsidRPr="00677C6A">
        <w:t>forårsage</w:t>
      </w:r>
      <w:proofErr w:type="spellEnd"/>
      <w:r w:rsidR="007301EF" w:rsidRPr="00677C6A">
        <w:t xml:space="preserve"> </w:t>
      </w:r>
      <w:proofErr w:type="spellStart"/>
      <w:r w:rsidR="007301EF" w:rsidRPr="00677C6A">
        <w:t>blødning</w:t>
      </w:r>
      <w:proofErr w:type="spellEnd"/>
      <w:r w:rsidR="007301EF" w:rsidRPr="00677C6A">
        <w:t xml:space="preserve">. I </w:t>
      </w:r>
      <w:proofErr w:type="spellStart"/>
      <w:r w:rsidR="007301EF" w:rsidRPr="00677C6A">
        <w:t>tilfælde</w:t>
      </w:r>
      <w:proofErr w:type="spellEnd"/>
      <w:r w:rsidR="007301EF" w:rsidRPr="00677C6A">
        <w:t xml:space="preserve"> </w:t>
      </w:r>
      <w:proofErr w:type="spellStart"/>
      <w:r w:rsidR="007301EF" w:rsidRPr="00677C6A">
        <w:t>af</w:t>
      </w:r>
      <w:proofErr w:type="spellEnd"/>
      <w:r w:rsidR="007301EF" w:rsidRPr="00677C6A">
        <w:t xml:space="preserve"> </w:t>
      </w:r>
      <w:proofErr w:type="spellStart"/>
      <w:r w:rsidR="007301EF" w:rsidRPr="00677C6A">
        <w:t>hæmoragiske</w:t>
      </w:r>
      <w:proofErr w:type="spellEnd"/>
      <w:r w:rsidR="007301EF" w:rsidRPr="00677C6A">
        <w:t xml:space="preserve"> </w:t>
      </w:r>
      <w:proofErr w:type="spellStart"/>
      <w:r w:rsidR="007301EF" w:rsidRPr="00677C6A">
        <w:t>komplikationer</w:t>
      </w:r>
      <w:proofErr w:type="spellEnd"/>
      <w:r w:rsidR="007301EF" w:rsidRPr="00677C6A">
        <w:t xml:space="preserve"> </w:t>
      </w:r>
      <w:proofErr w:type="spellStart"/>
      <w:r w:rsidR="007301EF" w:rsidRPr="00677C6A">
        <w:t>skal</w:t>
      </w:r>
      <w:proofErr w:type="spellEnd"/>
      <w:r w:rsidR="007301EF" w:rsidRPr="00677C6A">
        <w:t xml:space="preserve"> </w:t>
      </w:r>
      <w:proofErr w:type="spellStart"/>
      <w:r w:rsidR="007301EF" w:rsidRPr="00677C6A">
        <w:t>behandlingen</w:t>
      </w:r>
      <w:proofErr w:type="spellEnd"/>
      <w:r w:rsidR="007301EF" w:rsidRPr="00677C6A">
        <w:t xml:space="preserve"> </w:t>
      </w:r>
      <w:proofErr w:type="spellStart"/>
      <w:r w:rsidR="007301EF" w:rsidRPr="00677C6A">
        <w:t>afbrydes</w:t>
      </w:r>
      <w:proofErr w:type="spellEnd"/>
      <w:r w:rsidR="007301EF" w:rsidRPr="00677C6A">
        <w:t xml:space="preserve">, </w:t>
      </w:r>
      <w:proofErr w:type="spellStart"/>
      <w:r w:rsidR="007301EF" w:rsidRPr="00677C6A">
        <w:t>og</w:t>
      </w:r>
      <w:proofErr w:type="spellEnd"/>
      <w:r w:rsidR="007301EF" w:rsidRPr="00677C6A">
        <w:t xml:space="preserve"> </w:t>
      </w:r>
      <w:proofErr w:type="spellStart"/>
      <w:r w:rsidR="007301EF" w:rsidRPr="00677C6A">
        <w:t>kilden</w:t>
      </w:r>
      <w:proofErr w:type="spellEnd"/>
      <w:r w:rsidR="007301EF" w:rsidRPr="00677C6A">
        <w:t xml:space="preserve"> </w:t>
      </w:r>
      <w:proofErr w:type="spellStart"/>
      <w:r w:rsidR="007301EF" w:rsidRPr="00677C6A">
        <w:t>til</w:t>
      </w:r>
      <w:proofErr w:type="spellEnd"/>
      <w:r w:rsidR="007301EF" w:rsidRPr="00677C6A">
        <w:t xml:space="preserve"> </w:t>
      </w:r>
      <w:proofErr w:type="spellStart"/>
      <w:r w:rsidR="007301EF" w:rsidRPr="00677C6A">
        <w:t>blødningen</w:t>
      </w:r>
      <w:proofErr w:type="spellEnd"/>
      <w:r w:rsidR="007301EF" w:rsidRPr="00677C6A">
        <w:t xml:space="preserve"> </w:t>
      </w:r>
      <w:proofErr w:type="spellStart"/>
      <w:r w:rsidR="007301EF" w:rsidRPr="00677C6A">
        <w:t>bestemmes</w:t>
      </w:r>
      <w:proofErr w:type="spellEnd"/>
      <w:r w:rsidR="007301EF" w:rsidRPr="00677C6A">
        <w:t xml:space="preserve"> (se </w:t>
      </w:r>
      <w:proofErr w:type="spellStart"/>
      <w:r w:rsidR="007301EF" w:rsidRPr="00677C6A">
        <w:t>afsnittet</w:t>
      </w:r>
      <w:proofErr w:type="spellEnd"/>
      <w:r w:rsidR="007301EF" w:rsidRPr="00677C6A">
        <w:t xml:space="preserve"> </w:t>
      </w:r>
      <w:proofErr w:type="spellStart"/>
      <w:r w:rsidR="007301EF" w:rsidRPr="00677C6A">
        <w:t>Behandling</w:t>
      </w:r>
      <w:proofErr w:type="spellEnd"/>
      <w:r w:rsidR="007301EF" w:rsidRPr="00677C6A">
        <w:t xml:space="preserve"> </w:t>
      </w:r>
      <w:proofErr w:type="spellStart"/>
      <w:r w:rsidR="007301EF" w:rsidRPr="00677C6A">
        <w:t>af</w:t>
      </w:r>
      <w:proofErr w:type="spellEnd"/>
      <w:r w:rsidR="007301EF" w:rsidRPr="00677C6A">
        <w:t xml:space="preserve"> </w:t>
      </w:r>
      <w:proofErr w:type="spellStart"/>
      <w:r w:rsidR="007301EF" w:rsidRPr="00677C6A">
        <w:t>blødningskomplikationer</w:t>
      </w:r>
      <w:proofErr w:type="spellEnd"/>
      <w:r w:rsidR="007301EF" w:rsidRPr="00677C6A">
        <w:t>).</w:t>
      </w:r>
    </w:p>
    <w:p w14:paraId="0D390B6D" w14:textId="729B9A0E" w:rsidR="003F2CEE" w:rsidRPr="008A21E8" w:rsidRDefault="003F2CEE" w:rsidP="003F2CEE">
      <w:pPr>
        <w:rPr>
          <w:lang w:val="da-DK"/>
        </w:rPr>
      </w:pPr>
    </w:p>
    <w:p w14:paraId="5671EDB1" w14:textId="2B9CFD10" w:rsidR="003F2CEE" w:rsidRPr="008A21E8" w:rsidRDefault="003F2CEE" w:rsidP="003F2CEE">
      <w:pPr>
        <w:rPr>
          <w:b/>
          <w:bCs/>
          <w:sz w:val="28"/>
          <w:szCs w:val="28"/>
          <w:lang w:val="da-DK"/>
        </w:rPr>
      </w:pPr>
      <w:proofErr w:type="spellStart"/>
      <w:r w:rsidRPr="00677C6A">
        <w:rPr>
          <w:b/>
          <w:bCs/>
          <w:sz w:val="28"/>
          <w:szCs w:val="28"/>
        </w:rPr>
        <w:t>Behandling</w:t>
      </w:r>
      <w:proofErr w:type="spellEnd"/>
      <w:r w:rsidRPr="00677C6A">
        <w:rPr>
          <w:b/>
          <w:bCs/>
          <w:sz w:val="28"/>
          <w:szCs w:val="28"/>
        </w:rPr>
        <w:t xml:space="preserve"> </w:t>
      </w:r>
      <w:proofErr w:type="spellStart"/>
      <w:r w:rsidRPr="00677C6A">
        <w:rPr>
          <w:b/>
          <w:bCs/>
          <w:sz w:val="28"/>
          <w:szCs w:val="28"/>
        </w:rPr>
        <w:t>af</w:t>
      </w:r>
      <w:proofErr w:type="spellEnd"/>
      <w:r w:rsidRPr="00677C6A">
        <w:rPr>
          <w:b/>
          <w:bCs/>
          <w:sz w:val="28"/>
          <w:szCs w:val="28"/>
        </w:rPr>
        <w:t xml:space="preserve"> blødningskomplikationer</w:t>
      </w:r>
      <w:r w:rsidRPr="008A21E8">
        <w:rPr>
          <w:b/>
          <w:bCs/>
          <w:sz w:val="28"/>
          <w:szCs w:val="28"/>
          <w:vertAlign w:val="superscript"/>
        </w:rPr>
        <w:t>1,2,5</w:t>
      </w:r>
    </w:p>
    <w:p w14:paraId="227A4B3D" w14:textId="35F58002" w:rsidR="007301EF" w:rsidRPr="008A21E8" w:rsidRDefault="007301EF" w:rsidP="007301EF">
      <w:pPr>
        <w:rPr>
          <w:lang w:val="da-DK"/>
        </w:rPr>
      </w:pPr>
      <w:proofErr w:type="spellStart"/>
      <w:r w:rsidRPr="00677C6A">
        <w:t>Virkningen</w:t>
      </w:r>
      <w:proofErr w:type="spellEnd"/>
      <w:r w:rsidRPr="00677C6A">
        <w:t xml:space="preserve">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sikkerheden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den </w:t>
      </w:r>
      <w:proofErr w:type="spellStart"/>
      <w:r w:rsidRPr="00677C6A">
        <w:t>specifikke</w:t>
      </w:r>
      <w:proofErr w:type="spellEnd"/>
      <w:r w:rsidRPr="00677C6A">
        <w:t xml:space="preserve"> </w:t>
      </w:r>
      <w:proofErr w:type="spellStart"/>
      <w:r w:rsidRPr="00677C6A">
        <w:t>modgift</w:t>
      </w:r>
      <w:proofErr w:type="spellEnd"/>
      <w:r w:rsidRPr="00677C6A">
        <w:t xml:space="preserve"> (</w:t>
      </w:r>
      <w:proofErr w:type="spellStart"/>
      <w:r w:rsidRPr="00677C6A">
        <w:t>idarucizumab</w:t>
      </w:r>
      <w:proofErr w:type="spellEnd"/>
      <w:r w:rsidRPr="00677C6A">
        <w:t xml:space="preserve">) er </w:t>
      </w:r>
      <w:proofErr w:type="spellStart"/>
      <w:r w:rsidRPr="00677C6A">
        <w:t>ikke</w:t>
      </w:r>
      <w:proofErr w:type="spellEnd"/>
      <w:r w:rsidRPr="00677C6A">
        <w:t xml:space="preserve"> </w:t>
      </w:r>
      <w:proofErr w:type="spellStart"/>
      <w:r w:rsidRPr="00677C6A">
        <w:t>klarlagt</w:t>
      </w:r>
      <w:proofErr w:type="spellEnd"/>
      <w:r w:rsidRPr="00677C6A">
        <w:t xml:space="preserve"> </w:t>
      </w:r>
      <w:proofErr w:type="spellStart"/>
      <w:r w:rsidRPr="00677C6A">
        <w:t>hos</w:t>
      </w:r>
      <w:proofErr w:type="spellEnd"/>
      <w:r w:rsidRPr="00677C6A">
        <w:t xml:space="preserve"> </w:t>
      </w:r>
      <w:proofErr w:type="spellStart"/>
      <w:r w:rsidRPr="00677C6A">
        <w:t>børn</w:t>
      </w:r>
      <w:proofErr w:type="spellEnd"/>
      <w:r w:rsidRPr="00677C6A">
        <w:t xml:space="preserve">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unge</w:t>
      </w:r>
      <w:proofErr w:type="spellEnd"/>
      <w:r w:rsidRPr="00677C6A">
        <w:t xml:space="preserve">. Dabigatran </w:t>
      </w:r>
      <w:proofErr w:type="spellStart"/>
      <w:r w:rsidRPr="00677C6A">
        <w:t>kan</w:t>
      </w:r>
      <w:proofErr w:type="spellEnd"/>
      <w:r w:rsidRPr="00677C6A">
        <w:t xml:space="preserve"> </w:t>
      </w:r>
      <w:proofErr w:type="spellStart"/>
      <w:r w:rsidRPr="00677C6A">
        <w:t>elimineres</w:t>
      </w:r>
      <w:proofErr w:type="spellEnd"/>
      <w:r w:rsidRPr="00677C6A">
        <w:t xml:space="preserve"> </w:t>
      </w:r>
      <w:proofErr w:type="spellStart"/>
      <w:r w:rsidRPr="00677C6A">
        <w:t>ved</w:t>
      </w:r>
      <w:proofErr w:type="spellEnd"/>
      <w:r w:rsidRPr="00677C6A">
        <w:t xml:space="preserve"> </w:t>
      </w:r>
      <w:proofErr w:type="spellStart"/>
      <w:r w:rsidRPr="00677C6A">
        <w:t>hæmodialyse</w:t>
      </w:r>
      <w:proofErr w:type="spellEnd"/>
      <w:r w:rsidRPr="00677C6A">
        <w:t>.</w:t>
      </w:r>
    </w:p>
    <w:p w14:paraId="42C4C970" w14:textId="48A5179C" w:rsidR="00754B62" w:rsidRPr="008A21E8" w:rsidRDefault="007301EF" w:rsidP="007301EF">
      <w:pPr>
        <w:rPr>
          <w:lang w:val="da-DK"/>
        </w:rPr>
      </w:pPr>
      <w:proofErr w:type="spellStart"/>
      <w:r w:rsidRPr="00677C6A">
        <w:t>Afhængigt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den </w:t>
      </w:r>
      <w:proofErr w:type="spellStart"/>
      <w:r w:rsidRPr="00677C6A">
        <w:t>kliniske</w:t>
      </w:r>
      <w:proofErr w:type="spellEnd"/>
      <w:r w:rsidRPr="00677C6A">
        <w:t xml:space="preserve"> </w:t>
      </w:r>
      <w:proofErr w:type="spellStart"/>
      <w:r w:rsidRPr="00677C6A">
        <w:t>situation</w:t>
      </w:r>
      <w:proofErr w:type="spellEnd"/>
      <w:r w:rsidRPr="00677C6A">
        <w:t xml:space="preserve"> </w:t>
      </w:r>
      <w:proofErr w:type="spellStart"/>
      <w:r w:rsidRPr="00677C6A">
        <w:t>bør</w:t>
      </w:r>
      <w:proofErr w:type="spellEnd"/>
      <w:r w:rsidRPr="00677C6A">
        <w:t xml:space="preserve"> passende </w:t>
      </w:r>
      <w:proofErr w:type="spellStart"/>
      <w:r w:rsidRPr="00677C6A">
        <w:t>understøttende</w:t>
      </w:r>
      <w:proofErr w:type="spellEnd"/>
      <w:r w:rsidRPr="00677C6A">
        <w:t xml:space="preserve"> </w:t>
      </w:r>
      <w:proofErr w:type="spellStart"/>
      <w:r w:rsidRPr="00677C6A">
        <w:t>behandling</w:t>
      </w:r>
      <w:proofErr w:type="spellEnd"/>
      <w:r w:rsidRPr="00677C6A">
        <w:t xml:space="preserve">, </w:t>
      </w:r>
      <w:proofErr w:type="spellStart"/>
      <w:r w:rsidRPr="00677C6A">
        <w:t>såsom</w:t>
      </w:r>
      <w:proofErr w:type="spellEnd"/>
      <w:r w:rsidRPr="00677C6A">
        <w:t xml:space="preserve"> </w:t>
      </w:r>
      <w:proofErr w:type="spellStart"/>
      <w:r w:rsidRPr="00677C6A">
        <w:t>kirurgisk</w:t>
      </w:r>
      <w:proofErr w:type="spellEnd"/>
      <w:r w:rsidRPr="00677C6A">
        <w:t xml:space="preserve"> </w:t>
      </w:r>
      <w:proofErr w:type="spellStart"/>
      <w:r w:rsidRPr="00677C6A">
        <w:t>hæmostase</w:t>
      </w:r>
      <w:proofErr w:type="spellEnd"/>
      <w:r w:rsidRPr="00677C6A">
        <w:t xml:space="preserve"> </w:t>
      </w:r>
      <w:proofErr w:type="spellStart"/>
      <w:r w:rsidRPr="00677C6A">
        <w:t>eller</w:t>
      </w:r>
      <w:proofErr w:type="spellEnd"/>
      <w:r w:rsidRPr="00677C6A">
        <w:t xml:space="preserve"> </w:t>
      </w:r>
      <w:proofErr w:type="spellStart"/>
      <w:r w:rsidRPr="00677C6A">
        <w:t>udskiftning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blodvolumen</w:t>
      </w:r>
      <w:proofErr w:type="spellEnd"/>
      <w:r w:rsidRPr="00677C6A">
        <w:t xml:space="preserve">, </w:t>
      </w:r>
      <w:proofErr w:type="spellStart"/>
      <w:r w:rsidRPr="00677C6A">
        <w:t>initieres</w:t>
      </w:r>
      <w:proofErr w:type="spellEnd"/>
      <w:r w:rsidRPr="00677C6A">
        <w:t>.</w:t>
      </w:r>
    </w:p>
    <w:p w14:paraId="70F94DA1" w14:textId="0670D544" w:rsidR="003F2CEE" w:rsidRPr="008A21E8" w:rsidRDefault="003F2CEE" w:rsidP="003F2CEE">
      <w:pPr>
        <w:rPr>
          <w:lang w:val="da-DK"/>
        </w:rPr>
      </w:pPr>
    </w:p>
    <w:p w14:paraId="31B24D92" w14:textId="70B15501" w:rsidR="003F2CEE" w:rsidRPr="00E0658E" w:rsidRDefault="0002051D" w:rsidP="003F2CEE">
      <w:pPr>
        <w:rPr>
          <w:b/>
          <w:bCs/>
          <w:sz w:val="28"/>
          <w:szCs w:val="28"/>
          <w:lang w:val="da-DK"/>
        </w:rPr>
      </w:pPr>
      <w:proofErr w:type="spellStart"/>
      <w:r w:rsidRPr="00677C6A">
        <w:rPr>
          <w:b/>
          <w:bCs/>
          <w:sz w:val="28"/>
          <w:szCs w:val="28"/>
        </w:rPr>
        <w:t>Patientkort</w:t>
      </w:r>
      <w:proofErr w:type="spellEnd"/>
      <w:r w:rsidRPr="00677C6A">
        <w:rPr>
          <w:b/>
          <w:bCs/>
          <w:sz w:val="28"/>
          <w:szCs w:val="28"/>
        </w:rPr>
        <w:t xml:space="preserve"> </w:t>
      </w:r>
      <w:proofErr w:type="spellStart"/>
      <w:r w:rsidRPr="00677C6A">
        <w:rPr>
          <w:b/>
          <w:bCs/>
          <w:sz w:val="28"/>
          <w:szCs w:val="28"/>
        </w:rPr>
        <w:t>og</w:t>
      </w:r>
      <w:proofErr w:type="spellEnd"/>
      <w:r w:rsidRPr="00677C6A">
        <w:rPr>
          <w:b/>
          <w:bCs/>
          <w:sz w:val="28"/>
          <w:szCs w:val="28"/>
        </w:rPr>
        <w:t xml:space="preserve"> </w:t>
      </w:r>
      <w:proofErr w:type="spellStart"/>
      <w:r w:rsidRPr="00677C6A">
        <w:rPr>
          <w:b/>
          <w:bCs/>
          <w:sz w:val="28"/>
          <w:szCs w:val="28"/>
        </w:rPr>
        <w:t>patientrådgivning</w:t>
      </w:r>
      <w:proofErr w:type="spellEnd"/>
    </w:p>
    <w:p w14:paraId="1701A409" w14:textId="7F116F7D" w:rsidR="003F2CEE" w:rsidRPr="008A21E8" w:rsidRDefault="0002051D" w:rsidP="007301EF">
      <w:pPr>
        <w:rPr>
          <w:lang w:val="da-DK"/>
        </w:rPr>
      </w:pPr>
      <w:r w:rsidRPr="00677C6A">
        <w:t xml:space="preserve">Patienten </w:t>
      </w:r>
      <w:proofErr w:type="spellStart"/>
      <w:r w:rsidRPr="00677C6A">
        <w:t>får</w:t>
      </w:r>
      <w:proofErr w:type="spellEnd"/>
      <w:r w:rsidRPr="00677C6A">
        <w:t xml:space="preserve"> </w:t>
      </w:r>
      <w:proofErr w:type="spellStart"/>
      <w:r w:rsidRPr="00677C6A">
        <w:t>udleveret</w:t>
      </w:r>
      <w:proofErr w:type="spellEnd"/>
      <w:r w:rsidRPr="00677C6A">
        <w:t xml:space="preserve"> et </w:t>
      </w:r>
      <w:proofErr w:type="spellStart"/>
      <w:r w:rsidRPr="00677C6A">
        <w:t>patientkort</w:t>
      </w:r>
      <w:proofErr w:type="spellEnd"/>
      <w:r w:rsidRPr="00677C6A">
        <w:t xml:space="preserve"> </w:t>
      </w:r>
      <w:proofErr w:type="spellStart"/>
      <w:r w:rsidRPr="00677C6A">
        <w:t>til</w:t>
      </w:r>
      <w:proofErr w:type="spellEnd"/>
      <w:r w:rsidRPr="00677C6A">
        <w:t xml:space="preserve"> </w:t>
      </w:r>
      <w:proofErr w:type="spellStart"/>
      <w:r w:rsidRPr="00677C6A">
        <w:t>sikker</w:t>
      </w:r>
      <w:proofErr w:type="spellEnd"/>
      <w:r w:rsidRPr="00677C6A">
        <w:t xml:space="preserve"> </w:t>
      </w:r>
      <w:proofErr w:type="spellStart"/>
      <w:r w:rsidRPr="00677C6A">
        <w:t>brug</w:t>
      </w:r>
      <w:proofErr w:type="spellEnd"/>
      <w:r w:rsidRPr="00677C6A">
        <w:t xml:space="preserve"> </w:t>
      </w:r>
      <w:proofErr w:type="spellStart"/>
      <w:r w:rsidR="00B91089">
        <w:t>sammen</w:t>
      </w:r>
      <w:proofErr w:type="spellEnd"/>
      <w:r w:rsidR="00B91089">
        <w:t xml:space="preserve"> med</w:t>
      </w:r>
      <w:r w:rsidRPr="00677C6A">
        <w:t xml:space="preserve"> </w:t>
      </w:r>
      <w:proofErr w:type="spellStart"/>
      <w:r w:rsidRPr="00677C6A">
        <w:t>hver</w:t>
      </w:r>
      <w:proofErr w:type="spellEnd"/>
      <w:r w:rsidRPr="00677C6A">
        <w:t xml:space="preserve"> </w:t>
      </w:r>
      <w:proofErr w:type="spellStart"/>
      <w:r w:rsidRPr="00677C6A">
        <w:t>pakning</w:t>
      </w:r>
      <w:proofErr w:type="spellEnd"/>
      <w:r w:rsidRPr="00677C6A">
        <w:t xml:space="preserve"> med </w:t>
      </w:r>
      <w:proofErr w:type="spellStart"/>
      <w:r w:rsidRPr="00677C6A">
        <w:t>dabigatranetexilat</w:t>
      </w:r>
      <w:proofErr w:type="spellEnd"/>
      <w:r w:rsidRPr="00677C6A">
        <w:t xml:space="preserve">. En </w:t>
      </w:r>
      <w:proofErr w:type="spellStart"/>
      <w:r w:rsidRPr="00677C6A">
        <w:t>pædiatrisk</w:t>
      </w:r>
      <w:proofErr w:type="spellEnd"/>
      <w:r w:rsidRPr="00677C6A">
        <w:t xml:space="preserve"> </w:t>
      </w:r>
      <w:proofErr w:type="spellStart"/>
      <w:r w:rsidRPr="00677C6A">
        <w:t>patient</w:t>
      </w:r>
      <w:proofErr w:type="spellEnd"/>
      <w:r w:rsidR="00FB79F7">
        <w:t xml:space="preserve"> </w:t>
      </w:r>
      <w:proofErr w:type="spellStart"/>
      <w:r w:rsidR="00FB79F7">
        <w:t>eller</w:t>
      </w:r>
      <w:proofErr w:type="spellEnd"/>
      <w:r w:rsidR="00FB79F7">
        <w:t xml:space="preserve"> </w:t>
      </w:r>
      <w:proofErr w:type="spellStart"/>
      <w:r w:rsidRPr="00677C6A">
        <w:t>patient</w:t>
      </w:r>
      <w:r w:rsidR="00FB79F7">
        <w:t>s</w:t>
      </w:r>
      <w:proofErr w:type="spellEnd"/>
      <w:r w:rsidRPr="00677C6A">
        <w:t xml:space="preserve"> </w:t>
      </w:r>
      <w:proofErr w:type="spellStart"/>
      <w:r w:rsidRPr="00677C6A">
        <w:t>omsorgsperson</w:t>
      </w:r>
      <w:proofErr w:type="spellEnd"/>
      <w:r w:rsidRPr="00677C6A">
        <w:t xml:space="preserve"> </w:t>
      </w:r>
      <w:proofErr w:type="spellStart"/>
      <w:r w:rsidRPr="00677C6A">
        <w:t>skal</w:t>
      </w:r>
      <w:proofErr w:type="spellEnd"/>
      <w:r w:rsidRPr="00677C6A">
        <w:t xml:space="preserve"> </w:t>
      </w:r>
      <w:proofErr w:type="spellStart"/>
      <w:r w:rsidRPr="00677C6A">
        <w:t>instrueres</w:t>
      </w:r>
      <w:proofErr w:type="spellEnd"/>
      <w:r w:rsidRPr="00677C6A">
        <w:t xml:space="preserve"> i </w:t>
      </w:r>
      <w:proofErr w:type="spellStart"/>
      <w:r w:rsidRPr="00677C6A">
        <w:t>altid</w:t>
      </w:r>
      <w:proofErr w:type="spellEnd"/>
      <w:r w:rsidRPr="00677C6A">
        <w:t xml:space="preserve"> at </w:t>
      </w:r>
      <w:proofErr w:type="spellStart"/>
      <w:r w:rsidRPr="00677C6A">
        <w:t>have</w:t>
      </w:r>
      <w:proofErr w:type="spellEnd"/>
      <w:r w:rsidRPr="00677C6A">
        <w:t xml:space="preserve"> </w:t>
      </w:r>
      <w:proofErr w:type="spellStart"/>
      <w:r w:rsidRPr="00677C6A">
        <w:t>patientkortet</w:t>
      </w:r>
      <w:proofErr w:type="spellEnd"/>
      <w:r w:rsidRPr="00677C6A">
        <w:t xml:space="preserve"> </w:t>
      </w:r>
      <w:proofErr w:type="spellStart"/>
      <w:r w:rsidRPr="00677C6A">
        <w:t>på</w:t>
      </w:r>
      <w:proofErr w:type="spellEnd"/>
      <w:r w:rsidRPr="00677C6A">
        <w:t xml:space="preserve"> </w:t>
      </w:r>
      <w:proofErr w:type="spellStart"/>
      <w:r w:rsidRPr="00677C6A">
        <w:t>sig</w:t>
      </w:r>
      <w:proofErr w:type="spellEnd"/>
      <w:r w:rsidRPr="00677C6A">
        <w:t xml:space="preserve">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forevise</w:t>
      </w:r>
      <w:proofErr w:type="spellEnd"/>
      <w:r w:rsidRPr="00677C6A">
        <w:t xml:space="preserve"> </w:t>
      </w:r>
      <w:proofErr w:type="spellStart"/>
      <w:r w:rsidRPr="00677C6A">
        <w:t>det</w:t>
      </w:r>
      <w:proofErr w:type="spellEnd"/>
      <w:r w:rsidRPr="00677C6A">
        <w:t xml:space="preserve"> </w:t>
      </w:r>
      <w:proofErr w:type="spellStart"/>
      <w:r w:rsidRPr="00677C6A">
        <w:t>for</w:t>
      </w:r>
      <w:proofErr w:type="spellEnd"/>
      <w:r w:rsidRPr="00677C6A">
        <w:t xml:space="preserve"> </w:t>
      </w:r>
      <w:proofErr w:type="spellStart"/>
      <w:r w:rsidRPr="00677C6A">
        <w:t>sundhedspersonalet</w:t>
      </w:r>
      <w:proofErr w:type="spellEnd"/>
      <w:r w:rsidRPr="00677C6A">
        <w:t xml:space="preserve"> </w:t>
      </w:r>
      <w:proofErr w:type="spellStart"/>
      <w:r w:rsidRPr="00677C6A">
        <w:t>før</w:t>
      </w:r>
      <w:proofErr w:type="spellEnd"/>
      <w:r w:rsidRPr="00677C6A">
        <w:t xml:space="preserve"> </w:t>
      </w:r>
      <w:proofErr w:type="spellStart"/>
      <w:r w:rsidRPr="00677C6A">
        <w:t>hver</w:t>
      </w:r>
      <w:proofErr w:type="spellEnd"/>
      <w:r w:rsidRPr="00677C6A">
        <w:t xml:space="preserve"> </w:t>
      </w:r>
      <w:proofErr w:type="spellStart"/>
      <w:r w:rsidRPr="00677C6A">
        <w:t>behandling</w:t>
      </w:r>
      <w:proofErr w:type="spellEnd"/>
      <w:r w:rsidRPr="00677C6A">
        <w:t xml:space="preserve">. </w:t>
      </w:r>
      <w:proofErr w:type="spellStart"/>
      <w:r w:rsidRPr="00677C6A">
        <w:t>Patientkortet</w:t>
      </w:r>
      <w:proofErr w:type="spellEnd"/>
      <w:r w:rsidRPr="00677C6A">
        <w:t xml:space="preserve"> </w:t>
      </w:r>
      <w:proofErr w:type="spellStart"/>
      <w:r w:rsidRPr="00677C6A">
        <w:t>skal</w:t>
      </w:r>
      <w:proofErr w:type="spellEnd"/>
      <w:r w:rsidRPr="00677C6A">
        <w:t xml:space="preserve"> </w:t>
      </w:r>
      <w:proofErr w:type="spellStart"/>
      <w:r w:rsidRPr="00677C6A">
        <w:t>drøftes</w:t>
      </w:r>
      <w:proofErr w:type="spellEnd"/>
      <w:r w:rsidRPr="00677C6A">
        <w:t xml:space="preserve"> med en </w:t>
      </w:r>
      <w:proofErr w:type="spellStart"/>
      <w:r w:rsidRPr="00677C6A">
        <w:t>pædiatrisk</w:t>
      </w:r>
      <w:proofErr w:type="spellEnd"/>
      <w:r w:rsidRPr="00677C6A">
        <w:t xml:space="preserve"> </w:t>
      </w:r>
      <w:proofErr w:type="spellStart"/>
      <w:r w:rsidRPr="00677C6A">
        <w:t>patient</w:t>
      </w:r>
      <w:proofErr w:type="spellEnd"/>
      <w:r w:rsidR="00F64F01">
        <w:t xml:space="preserve"> </w:t>
      </w:r>
      <w:proofErr w:type="spellStart"/>
      <w:r w:rsidR="00F64F01">
        <w:t>eller</w:t>
      </w:r>
      <w:proofErr w:type="spellEnd"/>
      <w:r w:rsidRPr="00677C6A">
        <w:t xml:space="preserve"> </w:t>
      </w:r>
      <w:proofErr w:type="spellStart"/>
      <w:r w:rsidRPr="00677C6A">
        <w:t>patient</w:t>
      </w:r>
      <w:r w:rsidR="00F64F01">
        <w:t>s</w:t>
      </w:r>
      <w:proofErr w:type="spellEnd"/>
      <w:r w:rsidRPr="00677C6A">
        <w:t xml:space="preserve"> </w:t>
      </w:r>
      <w:proofErr w:type="spellStart"/>
      <w:r w:rsidRPr="00677C6A">
        <w:t>omsorgsperson</w:t>
      </w:r>
      <w:proofErr w:type="spellEnd"/>
      <w:r w:rsidRPr="00677C6A">
        <w:t xml:space="preserve">. </w:t>
      </w:r>
      <w:proofErr w:type="spellStart"/>
      <w:r w:rsidRPr="00677C6A">
        <w:t>Især</w:t>
      </w:r>
      <w:proofErr w:type="spellEnd"/>
      <w:r w:rsidRPr="00677C6A">
        <w:t xml:space="preserve"> </w:t>
      </w:r>
      <w:proofErr w:type="spellStart"/>
      <w:r w:rsidRPr="00677C6A">
        <w:t>skal</w:t>
      </w:r>
      <w:proofErr w:type="spellEnd"/>
      <w:r w:rsidRPr="00677C6A">
        <w:t xml:space="preserve"> </w:t>
      </w:r>
      <w:proofErr w:type="spellStart"/>
      <w:r w:rsidRPr="00677C6A">
        <w:t>patienten</w:t>
      </w:r>
      <w:proofErr w:type="spellEnd"/>
      <w:r w:rsidRPr="00677C6A">
        <w:t xml:space="preserve"> </w:t>
      </w:r>
      <w:proofErr w:type="spellStart"/>
      <w:r w:rsidRPr="00677C6A">
        <w:t>eller</w:t>
      </w:r>
      <w:proofErr w:type="spellEnd"/>
      <w:r w:rsidRPr="00677C6A">
        <w:t xml:space="preserve"> </w:t>
      </w:r>
      <w:proofErr w:type="spellStart"/>
      <w:r w:rsidRPr="00677C6A">
        <w:t>omsorgspersonen</w:t>
      </w:r>
      <w:proofErr w:type="spellEnd"/>
      <w:r w:rsidRPr="00677C6A">
        <w:t xml:space="preserve"> </w:t>
      </w:r>
      <w:proofErr w:type="spellStart"/>
      <w:r w:rsidRPr="00677C6A">
        <w:t>instrueres</w:t>
      </w:r>
      <w:proofErr w:type="spellEnd"/>
      <w:r w:rsidRPr="00677C6A">
        <w:t xml:space="preserve"> </w:t>
      </w:r>
      <w:proofErr w:type="spellStart"/>
      <w:r w:rsidRPr="00677C6A">
        <w:t>om</w:t>
      </w:r>
      <w:proofErr w:type="spellEnd"/>
      <w:r w:rsidRPr="00677C6A">
        <w:t xml:space="preserve"> </w:t>
      </w:r>
      <w:proofErr w:type="spellStart"/>
      <w:r w:rsidRPr="00677C6A">
        <w:t>tegn</w:t>
      </w:r>
      <w:proofErr w:type="spellEnd"/>
      <w:r w:rsidRPr="00677C6A">
        <w:t xml:space="preserve"> </w:t>
      </w:r>
      <w:proofErr w:type="spellStart"/>
      <w:r w:rsidRPr="00677C6A">
        <w:t>på</w:t>
      </w:r>
      <w:proofErr w:type="spellEnd"/>
      <w:r w:rsidRPr="00677C6A">
        <w:t xml:space="preserve"> </w:t>
      </w:r>
      <w:proofErr w:type="spellStart"/>
      <w:r w:rsidRPr="00677C6A">
        <w:t>blødning</w:t>
      </w:r>
      <w:proofErr w:type="spellEnd"/>
      <w:r w:rsidRPr="00677C6A">
        <w:t xml:space="preserve">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omstændighederne</w:t>
      </w:r>
      <w:proofErr w:type="spellEnd"/>
      <w:r w:rsidRPr="00677C6A">
        <w:t xml:space="preserve"> </w:t>
      </w:r>
      <w:proofErr w:type="spellStart"/>
      <w:r w:rsidRPr="00677C6A">
        <w:t>ved</w:t>
      </w:r>
      <w:proofErr w:type="spellEnd"/>
      <w:r w:rsidRPr="00677C6A">
        <w:t xml:space="preserve"> at </w:t>
      </w:r>
      <w:proofErr w:type="spellStart"/>
      <w:r w:rsidRPr="00677C6A">
        <w:t>konsultere</w:t>
      </w:r>
      <w:proofErr w:type="spellEnd"/>
      <w:r w:rsidRPr="00677C6A">
        <w:t xml:space="preserve"> en </w:t>
      </w:r>
      <w:proofErr w:type="spellStart"/>
      <w:r w:rsidRPr="00677C6A">
        <w:t>læge</w:t>
      </w:r>
      <w:proofErr w:type="spellEnd"/>
      <w:r w:rsidRPr="00677C6A">
        <w:t>.</w:t>
      </w:r>
    </w:p>
    <w:p w14:paraId="34FEBDF8" w14:textId="333E34D7" w:rsidR="003F2CEE" w:rsidRPr="008A21E8" w:rsidRDefault="003F2CEE" w:rsidP="003F2CEE">
      <w:pPr>
        <w:rPr>
          <w:lang w:val="da-DK"/>
        </w:rPr>
      </w:pPr>
    </w:p>
    <w:p w14:paraId="4C51EC50" w14:textId="77777777" w:rsidR="001546B5" w:rsidRPr="008A21E8" w:rsidRDefault="001546B5" w:rsidP="001546B5">
      <w:pPr>
        <w:rPr>
          <w:b/>
          <w:bCs/>
          <w:lang w:val="da-DK"/>
        </w:rPr>
      </w:pPr>
      <w:bookmarkStart w:id="1" w:name="_Hlk161921514"/>
      <w:proofErr w:type="spellStart"/>
      <w:r w:rsidRPr="00677C6A">
        <w:rPr>
          <w:b/>
          <w:bCs/>
          <w:sz w:val="28"/>
          <w:szCs w:val="28"/>
        </w:rPr>
        <w:t>Indberetning</w:t>
      </w:r>
      <w:proofErr w:type="spellEnd"/>
      <w:r w:rsidRPr="00677C6A">
        <w:rPr>
          <w:b/>
          <w:bCs/>
          <w:sz w:val="28"/>
          <w:szCs w:val="28"/>
        </w:rPr>
        <w:t xml:space="preserve"> </w:t>
      </w:r>
      <w:proofErr w:type="spellStart"/>
      <w:r w:rsidRPr="00677C6A">
        <w:rPr>
          <w:b/>
          <w:bCs/>
          <w:sz w:val="28"/>
          <w:szCs w:val="28"/>
        </w:rPr>
        <w:t>af</w:t>
      </w:r>
      <w:proofErr w:type="spellEnd"/>
      <w:r w:rsidRPr="00677C6A">
        <w:rPr>
          <w:b/>
          <w:bCs/>
          <w:sz w:val="28"/>
          <w:szCs w:val="28"/>
        </w:rPr>
        <w:t xml:space="preserve"> </w:t>
      </w:r>
      <w:proofErr w:type="spellStart"/>
      <w:r w:rsidRPr="00677C6A">
        <w:rPr>
          <w:b/>
          <w:bCs/>
          <w:sz w:val="28"/>
          <w:szCs w:val="28"/>
        </w:rPr>
        <w:t>bivirkninger</w:t>
      </w:r>
      <w:proofErr w:type="spellEnd"/>
    </w:p>
    <w:bookmarkEnd w:id="1"/>
    <w:p w14:paraId="747DDBDE" w14:textId="75B2A7C1" w:rsidR="001546B5" w:rsidRPr="00677C6A" w:rsidRDefault="001546B5" w:rsidP="001546B5">
      <w:proofErr w:type="spellStart"/>
      <w:r w:rsidRPr="00677C6A">
        <w:lastRenderedPageBreak/>
        <w:t>Indberetning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formodede</w:t>
      </w:r>
      <w:proofErr w:type="spellEnd"/>
      <w:r w:rsidRPr="00677C6A">
        <w:t xml:space="preserve"> </w:t>
      </w:r>
      <w:proofErr w:type="spellStart"/>
      <w:r w:rsidRPr="00677C6A">
        <w:t>bivirkninger</w:t>
      </w:r>
      <w:proofErr w:type="spellEnd"/>
      <w:r w:rsidRPr="00677C6A">
        <w:t xml:space="preserve"> </w:t>
      </w:r>
      <w:proofErr w:type="spellStart"/>
      <w:r w:rsidRPr="00677C6A">
        <w:t>efter</w:t>
      </w:r>
      <w:proofErr w:type="spellEnd"/>
      <w:r w:rsidRPr="00677C6A">
        <w:t xml:space="preserve"> </w:t>
      </w:r>
      <w:proofErr w:type="spellStart"/>
      <w:r w:rsidRPr="00677C6A">
        <w:t>godkendelse</w:t>
      </w:r>
      <w:proofErr w:type="spellEnd"/>
      <w:r w:rsidRPr="00677C6A">
        <w:t xml:space="preserve"> er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stor</w:t>
      </w:r>
      <w:proofErr w:type="spellEnd"/>
      <w:r w:rsidRPr="00677C6A">
        <w:t xml:space="preserve"> </w:t>
      </w:r>
      <w:proofErr w:type="spellStart"/>
      <w:r w:rsidRPr="00677C6A">
        <w:t>betydning</w:t>
      </w:r>
      <w:proofErr w:type="spellEnd"/>
      <w:r w:rsidRPr="00677C6A">
        <w:t xml:space="preserve">. </w:t>
      </w:r>
      <w:proofErr w:type="spellStart"/>
      <w:r w:rsidRPr="00677C6A">
        <w:t>Det</w:t>
      </w:r>
      <w:proofErr w:type="spellEnd"/>
      <w:r w:rsidRPr="00677C6A">
        <w:t xml:space="preserve"> </w:t>
      </w:r>
      <w:proofErr w:type="spellStart"/>
      <w:r w:rsidRPr="00677C6A">
        <w:t>muliggør</w:t>
      </w:r>
      <w:proofErr w:type="spellEnd"/>
      <w:r w:rsidRPr="00677C6A">
        <w:t xml:space="preserve"> </w:t>
      </w:r>
      <w:proofErr w:type="spellStart"/>
      <w:r w:rsidRPr="00677C6A">
        <w:t>løbende</w:t>
      </w:r>
      <w:proofErr w:type="spellEnd"/>
      <w:r w:rsidRPr="00677C6A">
        <w:t xml:space="preserve"> </w:t>
      </w:r>
      <w:proofErr w:type="spellStart"/>
      <w:r w:rsidRPr="00677C6A">
        <w:t>overvågning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</w:t>
      </w:r>
      <w:proofErr w:type="spellStart"/>
      <w:r w:rsidRPr="00677C6A">
        <w:t>forholdet</w:t>
      </w:r>
      <w:proofErr w:type="spellEnd"/>
      <w:r w:rsidRPr="00677C6A">
        <w:t xml:space="preserve"> </w:t>
      </w:r>
      <w:proofErr w:type="spellStart"/>
      <w:r w:rsidRPr="00677C6A">
        <w:t>mellem</w:t>
      </w:r>
      <w:proofErr w:type="spellEnd"/>
      <w:r w:rsidRPr="00677C6A">
        <w:t xml:space="preserve"> </w:t>
      </w:r>
      <w:proofErr w:type="spellStart"/>
      <w:r w:rsidRPr="00677C6A">
        <w:t>fordele</w:t>
      </w:r>
      <w:proofErr w:type="spellEnd"/>
      <w:r w:rsidRPr="00677C6A">
        <w:t xml:space="preserve"> </w:t>
      </w:r>
      <w:proofErr w:type="spellStart"/>
      <w:r w:rsidRPr="00677C6A">
        <w:t>og</w:t>
      </w:r>
      <w:proofErr w:type="spellEnd"/>
      <w:r w:rsidRPr="00677C6A">
        <w:t xml:space="preserve"> </w:t>
      </w:r>
      <w:proofErr w:type="spellStart"/>
      <w:r w:rsidRPr="00677C6A">
        <w:t>risici</w:t>
      </w:r>
      <w:proofErr w:type="spellEnd"/>
      <w:r w:rsidRPr="00677C6A">
        <w:t xml:space="preserve"> </w:t>
      </w:r>
      <w:proofErr w:type="spellStart"/>
      <w:r w:rsidRPr="00677C6A">
        <w:t>ved</w:t>
      </w:r>
      <w:proofErr w:type="spellEnd"/>
      <w:r w:rsidRPr="00677C6A">
        <w:t xml:space="preserve"> </w:t>
      </w:r>
      <w:proofErr w:type="spellStart"/>
      <w:r w:rsidRPr="00677C6A">
        <w:t>lægemidlet</w:t>
      </w:r>
      <w:proofErr w:type="spellEnd"/>
      <w:r w:rsidRPr="00677C6A">
        <w:t xml:space="preserve">. </w:t>
      </w:r>
      <w:proofErr w:type="spellStart"/>
      <w:r w:rsidRPr="00677C6A">
        <w:t>Sundhedspersonale</w:t>
      </w:r>
      <w:proofErr w:type="spellEnd"/>
      <w:r w:rsidRPr="00677C6A">
        <w:t xml:space="preserve"> </w:t>
      </w:r>
      <w:proofErr w:type="spellStart"/>
      <w:r w:rsidRPr="00677C6A">
        <w:t>anmodes</w:t>
      </w:r>
      <w:proofErr w:type="spellEnd"/>
      <w:r w:rsidRPr="00677C6A">
        <w:t xml:space="preserve"> </w:t>
      </w:r>
      <w:proofErr w:type="spellStart"/>
      <w:r w:rsidRPr="00677C6A">
        <w:t>om</w:t>
      </w:r>
      <w:proofErr w:type="spellEnd"/>
      <w:r w:rsidRPr="00677C6A">
        <w:t xml:space="preserve"> at </w:t>
      </w:r>
      <w:proofErr w:type="spellStart"/>
      <w:r w:rsidRPr="00677C6A">
        <w:t>indberette</w:t>
      </w:r>
      <w:proofErr w:type="spellEnd"/>
      <w:r w:rsidRPr="00677C6A">
        <w:t xml:space="preserve"> </w:t>
      </w:r>
      <w:proofErr w:type="spellStart"/>
      <w:r w:rsidRPr="00677C6A">
        <w:t>ethvert</w:t>
      </w:r>
      <w:proofErr w:type="spellEnd"/>
      <w:r w:rsidRPr="00677C6A">
        <w:t xml:space="preserve"> </w:t>
      </w:r>
      <w:proofErr w:type="spellStart"/>
      <w:r w:rsidRPr="00677C6A">
        <w:t>mistænkt</w:t>
      </w:r>
      <w:proofErr w:type="spellEnd"/>
      <w:r w:rsidRPr="00677C6A">
        <w:t xml:space="preserve"> </w:t>
      </w:r>
      <w:proofErr w:type="spellStart"/>
      <w:r w:rsidRPr="00677C6A">
        <w:t>tilfælde</w:t>
      </w:r>
      <w:proofErr w:type="spellEnd"/>
      <w:r w:rsidRPr="00677C6A">
        <w:t xml:space="preserve"> </w:t>
      </w:r>
      <w:proofErr w:type="spellStart"/>
      <w:r w:rsidRPr="00677C6A">
        <w:t>af</w:t>
      </w:r>
      <w:proofErr w:type="spellEnd"/>
      <w:r w:rsidRPr="00677C6A">
        <w:t xml:space="preserve"> en </w:t>
      </w:r>
      <w:proofErr w:type="spellStart"/>
      <w:r w:rsidRPr="00677C6A">
        <w:t>bivirkning</w:t>
      </w:r>
      <w:proofErr w:type="spellEnd"/>
      <w:r w:rsidR="00D45501">
        <w:t xml:space="preserve"> </w:t>
      </w:r>
      <w:bookmarkStart w:id="2" w:name="_Hlk179456804"/>
      <w:proofErr w:type="spellStart"/>
      <w:r w:rsidR="00D45501">
        <w:t>på</w:t>
      </w:r>
      <w:proofErr w:type="spellEnd"/>
      <w:r w:rsidR="00D45501">
        <w:t xml:space="preserve"> </w:t>
      </w:r>
      <w:proofErr w:type="spellStart"/>
      <w:r w:rsidR="00D45501">
        <w:t>lægemiddelstyrelsens</w:t>
      </w:r>
      <w:proofErr w:type="spellEnd"/>
      <w:r w:rsidR="00D45501">
        <w:t xml:space="preserve"> </w:t>
      </w:r>
      <w:proofErr w:type="spellStart"/>
      <w:r w:rsidR="00D45501">
        <w:t>hjemmeside</w:t>
      </w:r>
      <w:proofErr w:type="spellEnd"/>
      <w:r w:rsidR="00D45501">
        <w:t xml:space="preserve"> </w:t>
      </w:r>
      <w:r w:rsidR="00D45501" w:rsidRPr="00D45501">
        <w:t>https://blanket.meldenbivirkning.dk/</w:t>
      </w:r>
    </w:p>
    <w:bookmarkEnd w:id="2"/>
    <w:p w14:paraId="2594DC2E" w14:textId="77777777" w:rsidR="001546B5" w:rsidRPr="008A21E8" w:rsidRDefault="001546B5" w:rsidP="003F2CEE">
      <w:pPr>
        <w:rPr>
          <w:lang w:val="da-DK"/>
        </w:rPr>
      </w:pPr>
    </w:p>
    <w:p w14:paraId="6734EE67" w14:textId="77777777" w:rsidR="001546B5" w:rsidRPr="008A21E8" w:rsidRDefault="001546B5">
      <w:pPr>
        <w:rPr>
          <w:b/>
          <w:bCs/>
          <w:sz w:val="28"/>
          <w:szCs w:val="28"/>
          <w:lang w:val="da-DK"/>
        </w:rPr>
      </w:pPr>
      <w:r w:rsidRPr="00677C6A">
        <w:rPr>
          <w:b/>
          <w:bCs/>
          <w:sz w:val="28"/>
          <w:szCs w:val="28"/>
        </w:rPr>
        <w:br w:type="page"/>
      </w:r>
    </w:p>
    <w:p w14:paraId="487CA120" w14:textId="0CDBCC2F" w:rsidR="0076189B" w:rsidRPr="008A21E8" w:rsidRDefault="00E677EE" w:rsidP="003F2CEE">
      <w:pPr>
        <w:rPr>
          <w:b/>
          <w:bCs/>
          <w:sz w:val="28"/>
          <w:szCs w:val="28"/>
          <w:lang w:val="da-DK"/>
        </w:rPr>
      </w:pPr>
      <w:proofErr w:type="spellStart"/>
      <w:r w:rsidRPr="00677C6A">
        <w:rPr>
          <w:b/>
          <w:bCs/>
          <w:sz w:val="28"/>
          <w:szCs w:val="28"/>
        </w:rPr>
        <w:lastRenderedPageBreak/>
        <w:t>Referencer</w:t>
      </w:r>
      <w:proofErr w:type="spellEnd"/>
    </w:p>
    <w:p w14:paraId="17341733" w14:textId="65B36625" w:rsidR="003F2CEE" w:rsidRPr="008A21E8" w:rsidRDefault="003F2CEE" w:rsidP="003F2CEE">
      <w:pPr>
        <w:rPr>
          <w:lang w:val="da-DK"/>
        </w:rPr>
      </w:pPr>
      <w:r w:rsidRPr="00677C6A">
        <w:t xml:space="preserve">1. </w:t>
      </w:r>
      <w:proofErr w:type="spellStart"/>
      <w:r w:rsidRPr="00677C6A">
        <w:t>Dabigatranetexilat</w:t>
      </w:r>
      <w:proofErr w:type="spellEnd"/>
      <w:r w:rsidRPr="00677C6A">
        <w:t xml:space="preserve"> STADA Nordic 75 mg, 110 mg, 150 mg &amp; </w:t>
      </w:r>
      <w:proofErr w:type="spellStart"/>
      <w:r w:rsidRPr="00677C6A">
        <w:t>Dabigatranetexilat</w:t>
      </w:r>
      <w:proofErr w:type="spellEnd"/>
      <w:r w:rsidRPr="00677C6A">
        <w:t xml:space="preserve"> STADA 75 mg, 110 mg, 150 mg </w:t>
      </w:r>
      <w:proofErr w:type="spellStart"/>
      <w:r w:rsidRPr="00677C6A">
        <w:t>Produktresumé</w:t>
      </w:r>
      <w:proofErr w:type="spellEnd"/>
    </w:p>
    <w:p w14:paraId="446AC669" w14:textId="171A9EF3" w:rsidR="003F2CEE" w:rsidRPr="003F2CEE" w:rsidRDefault="003F2CEE" w:rsidP="003F2CEE">
      <w:pPr>
        <w:rPr>
          <w:lang w:val="en-US"/>
        </w:rPr>
      </w:pPr>
      <w:r w:rsidRPr="00677C6A">
        <w:t xml:space="preserve">2. van </w:t>
      </w:r>
      <w:proofErr w:type="spellStart"/>
      <w:r w:rsidRPr="00677C6A">
        <w:t>Ryn</w:t>
      </w:r>
      <w:proofErr w:type="spellEnd"/>
      <w:r w:rsidRPr="00677C6A">
        <w:t xml:space="preserve"> J et al. </w:t>
      </w:r>
      <w:proofErr w:type="spellStart"/>
      <w:r w:rsidRPr="00677C6A">
        <w:t>Tromb</w:t>
      </w:r>
      <w:proofErr w:type="spellEnd"/>
      <w:r w:rsidRPr="00677C6A">
        <w:t xml:space="preserve"> </w:t>
      </w:r>
      <w:proofErr w:type="spellStart"/>
      <w:r w:rsidRPr="00677C6A">
        <w:t>Haemost</w:t>
      </w:r>
      <w:proofErr w:type="spellEnd"/>
      <w:r w:rsidRPr="00677C6A">
        <w:t xml:space="preserve"> 2010; 103: 1116–1127</w:t>
      </w:r>
    </w:p>
    <w:p w14:paraId="4F4A7D8A" w14:textId="7428DCC9" w:rsidR="003F2CEE" w:rsidRPr="003F2CEE" w:rsidRDefault="003F2CEE" w:rsidP="003F2CEE">
      <w:pPr>
        <w:rPr>
          <w:lang w:val="en-US"/>
        </w:rPr>
      </w:pPr>
      <w:r w:rsidRPr="00677C6A">
        <w:t xml:space="preserve">3. Liesenfeld KH et al. Br J </w:t>
      </w:r>
      <w:proofErr w:type="spellStart"/>
      <w:r w:rsidRPr="00677C6A">
        <w:t>Clin</w:t>
      </w:r>
      <w:proofErr w:type="spellEnd"/>
      <w:r w:rsidRPr="00677C6A">
        <w:t xml:space="preserve"> </w:t>
      </w:r>
      <w:proofErr w:type="spellStart"/>
      <w:r w:rsidRPr="00677C6A">
        <w:t>Pharmacol</w:t>
      </w:r>
      <w:proofErr w:type="spellEnd"/>
      <w:r w:rsidRPr="00677C6A">
        <w:t xml:space="preserve"> 2006; 62: 527–537</w:t>
      </w:r>
    </w:p>
    <w:p w14:paraId="77BEF756" w14:textId="5EC9CA45" w:rsidR="003F2CEE" w:rsidRPr="007B12C4" w:rsidRDefault="003F2CEE" w:rsidP="003F2CEE">
      <w:pPr>
        <w:rPr>
          <w:lang w:val="da-DK"/>
        </w:rPr>
      </w:pPr>
      <w:r w:rsidRPr="00677C6A">
        <w:t xml:space="preserve">4. Stangier J et al. Br J </w:t>
      </w:r>
      <w:proofErr w:type="spellStart"/>
      <w:r w:rsidRPr="00677C6A">
        <w:t>Clin</w:t>
      </w:r>
      <w:proofErr w:type="spellEnd"/>
      <w:r w:rsidRPr="00677C6A">
        <w:t xml:space="preserve"> </w:t>
      </w:r>
      <w:proofErr w:type="spellStart"/>
      <w:r w:rsidRPr="00677C6A">
        <w:t>Pharmacol</w:t>
      </w:r>
      <w:proofErr w:type="spellEnd"/>
      <w:r w:rsidRPr="00677C6A">
        <w:t xml:space="preserve"> 2007; 64: 292–303</w:t>
      </w:r>
    </w:p>
    <w:p w14:paraId="2CF7E420" w14:textId="0EC4C2AB" w:rsidR="003F2CEE" w:rsidRPr="00677C6A" w:rsidRDefault="007301EF" w:rsidP="003F2CEE">
      <w:pPr>
        <w:rPr>
          <w:lang w:val="da-DK"/>
        </w:rPr>
      </w:pPr>
      <w:r w:rsidRPr="00677C6A">
        <w:t>5. Pollack C et al. NEJM 2015; 373: 511–20</w:t>
      </w:r>
    </w:p>
    <w:p w14:paraId="787AEFC2" w14:textId="6DCEA3CC" w:rsidR="003F2CEE" w:rsidRPr="00677C6A" w:rsidRDefault="003F2CEE" w:rsidP="003F2CEE">
      <w:pPr>
        <w:rPr>
          <w:lang w:val="da-DK"/>
        </w:rPr>
      </w:pPr>
    </w:p>
    <w:p w14:paraId="2392424C" w14:textId="77777777" w:rsidR="000C245B" w:rsidRPr="00677C6A" w:rsidRDefault="000C245B" w:rsidP="003F2CEE">
      <w:pPr>
        <w:rPr>
          <w:lang w:val="da-DK"/>
        </w:rPr>
      </w:pPr>
    </w:p>
    <w:p w14:paraId="4F44DFFD" w14:textId="2F0002CA" w:rsidR="000C245B" w:rsidRPr="00677C6A" w:rsidRDefault="000C245B" w:rsidP="003F2CEE">
      <w:pPr>
        <w:rPr>
          <w:lang w:val="da-DK"/>
        </w:rPr>
      </w:pPr>
    </w:p>
    <w:p w14:paraId="2E77BDB9" w14:textId="42B640D7" w:rsidR="000C245B" w:rsidRPr="00677C6A" w:rsidRDefault="000C245B" w:rsidP="003F2CEE">
      <w:pPr>
        <w:rPr>
          <w:lang w:val="da-DK"/>
        </w:rPr>
      </w:pPr>
    </w:p>
    <w:p w14:paraId="64E261C1" w14:textId="5BCD074C" w:rsidR="000C245B" w:rsidRPr="00677C6A" w:rsidRDefault="000C245B" w:rsidP="003F2CEE">
      <w:pPr>
        <w:rPr>
          <w:lang w:val="da-DK"/>
        </w:rPr>
      </w:pPr>
    </w:p>
    <w:p w14:paraId="639DD4CF" w14:textId="38FA001C" w:rsidR="000C245B" w:rsidRPr="00677C6A" w:rsidRDefault="000C245B" w:rsidP="003F2CEE">
      <w:pPr>
        <w:rPr>
          <w:lang w:val="da-DK"/>
        </w:rPr>
      </w:pPr>
    </w:p>
    <w:p w14:paraId="420600F9" w14:textId="285A42D5" w:rsidR="000C245B" w:rsidRPr="008A21E8" w:rsidRDefault="001546B5" w:rsidP="000C245B">
      <w:pPr>
        <w:pStyle w:val="Brdtekst"/>
        <w:spacing w:before="95"/>
        <w:ind w:left="108"/>
        <w:rPr>
          <w:rFonts w:asciiTheme="minorHAnsi" w:hAnsiTheme="minorHAnsi" w:cstheme="minorHAnsi"/>
          <w:lang w:val="da-DK"/>
        </w:rPr>
      </w:pPr>
      <w:r w:rsidRPr="00677C6A">
        <w:rPr>
          <w:rFonts w:asciiTheme="minorHAnsi" w:hAnsiTheme="minorHAnsi" w:cstheme="minorHAnsi"/>
          <w:spacing w:val="-7"/>
        </w:rPr>
        <w:t xml:space="preserve">Kontakt </w:t>
      </w:r>
      <w:proofErr w:type="spellStart"/>
      <w:r w:rsidRPr="00677C6A">
        <w:rPr>
          <w:rFonts w:asciiTheme="minorHAnsi" w:hAnsiTheme="minorHAnsi" w:cstheme="minorHAnsi"/>
          <w:spacing w:val="-7"/>
        </w:rPr>
        <w:t>lægemiddelvirksomheden</w:t>
      </w:r>
      <w:proofErr w:type="spellEnd"/>
      <w:r w:rsidRPr="00677C6A">
        <w:rPr>
          <w:rFonts w:asciiTheme="minorHAnsi" w:hAnsiTheme="minorHAnsi" w:cstheme="minorHAnsi"/>
          <w:spacing w:val="-7"/>
        </w:rPr>
        <w:t xml:space="preserve"> (se </w:t>
      </w:r>
      <w:proofErr w:type="spellStart"/>
      <w:r w:rsidRPr="00677C6A">
        <w:rPr>
          <w:rFonts w:asciiTheme="minorHAnsi" w:hAnsiTheme="minorHAnsi" w:cstheme="minorHAnsi"/>
          <w:spacing w:val="-7"/>
        </w:rPr>
        <w:t>produktresumé</w:t>
      </w:r>
      <w:proofErr w:type="spellEnd"/>
      <w:r w:rsidRPr="00677C6A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77C6A">
        <w:rPr>
          <w:rFonts w:asciiTheme="minorHAnsi" w:hAnsiTheme="minorHAnsi" w:cstheme="minorHAnsi"/>
          <w:spacing w:val="-7"/>
        </w:rPr>
        <w:t>og</w:t>
      </w:r>
      <w:proofErr w:type="spellEnd"/>
      <w:r w:rsidRPr="00677C6A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77C6A">
        <w:rPr>
          <w:rFonts w:asciiTheme="minorHAnsi" w:hAnsiTheme="minorHAnsi" w:cstheme="minorHAnsi"/>
          <w:spacing w:val="-7"/>
        </w:rPr>
        <w:t>indlægsseddel</w:t>
      </w:r>
      <w:proofErr w:type="spellEnd"/>
      <w:r w:rsidRPr="00677C6A">
        <w:rPr>
          <w:rFonts w:asciiTheme="minorHAnsi" w:hAnsiTheme="minorHAnsi" w:cstheme="minorHAnsi"/>
          <w:spacing w:val="-7"/>
        </w:rPr>
        <w:t xml:space="preserve">) </w:t>
      </w:r>
      <w:proofErr w:type="spellStart"/>
      <w:r w:rsidRPr="00677C6A">
        <w:rPr>
          <w:rFonts w:asciiTheme="minorHAnsi" w:hAnsiTheme="minorHAnsi" w:cstheme="minorHAnsi"/>
          <w:spacing w:val="-7"/>
        </w:rPr>
        <w:t>for</w:t>
      </w:r>
      <w:proofErr w:type="spellEnd"/>
      <w:r w:rsidRPr="00677C6A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77C6A">
        <w:rPr>
          <w:rFonts w:asciiTheme="minorHAnsi" w:hAnsiTheme="minorHAnsi" w:cstheme="minorHAnsi"/>
          <w:spacing w:val="-7"/>
        </w:rPr>
        <w:t>yderligere</w:t>
      </w:r>
      <w:proofErr w:type="spellEnd"/>
      <w:r w:rsidRPr="00677C6A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77C6A">
        <w:rPr>
          <w:rFonts w:asciiTheme="minorHAnsi" w:hAnsiTheme="minorHAnsi" w:cstheme="minorHAnsi"/>
          <w:spacing w:val="-7"/>
        </w:rPr>
        <w:t>oplysninger</w:t>
      </w:r>
      <w:proofErr w:type="spellEnd"/>
      <w:r w:rsidRPr="00677C6A">
        <w:rPr>
          <w:rFonts w:asciiTheme="minorHAnsi" w:hAnsiTheme="minorHAnsi" w:cstheme="minorHAnsi"/>
          <w:spacing w:val="-7"/>
        </w:rPr>
        <w:t>.</w:t>
      </w:r>
    </w:p>
    <w:p w14:paraId="59CC6AF4" w14:textId="77777777" w:rsidR="000C245B" w:rsidRPr="008A21E8" w:rsidRDefault="000C245B" w:rsidP="000C245B">
      <w:pPr>
        <w:spacing w:before="210"/>
        <w:ind w:left="108"/>
        <w:rPr>
          <w:rFonts w:cstheme="minorHAnsi"/>
          <w:spacing w:val="-4"/>
          <w:sz w:val="18"/>
          <w:lang w:val="da-DK"/>
        </w:rPr>
      </w:pPr>
    </w:p>
    <w:p w14:paraId="570DF422" w14:textId="77777777" w:rsidR="000C245B" w:rsidRPr="008A21E8" w:rsidRDefault="000C245B" w:rsidP="000C245B">
      <w:pPr>
        <w:spacing w:before="210"/>
        <w:ind w:left="108"/>
        <w:rPr>
          <w:rFonts w:cstheme="minorHAnsi"/>
          <w:spacing w:val="-4"/>
          <w:sz w:val="18"/>
          <w:lang w:val="da-DK"/>
        </w:rPr>
      </w:pPr>
    </w:p>
    <w:p w14:paraId="7B601A7C" w14:textId="29C2A4C5" w:rsidR="000C245B" w:rsidRPr="0022558B" w:rsidRDefault="000C245B" w:rsidP="000C245B">
      <w:pPr>
        <w:spacing w:before="210"/>
        <w:ind w:left="108"/>
        <w:rPr>
          <w:rFonts w:cstheme="minorHAnsi"/>
          <w:sz w:val="18"/>
        </w:rPr>
      </w:pPr>
      <w:proofErr w:type="spellStart"/>
      <w:r w:rsidRPr="0022558B">
        <w:rPr>
          <w:rFonts w:cstheme="minorHAnsi"/>
          <w:spacing w:val="-4"/>
          <w:sz w:val="18"/>
        </w:rPr>
        <w:t>Senest</w:t>
      </w:r>
      <w:proofErr w:type="spellEnd"/>
      <w:r w:rsidRPr="0022558B">
        <w:rPr>
          <w:rFonts w:cstheme="minorHAnsi"/>
          <w:spacing w:val="-4"/>
          <w:sz w:val="18"/>
        </w:rPr>
        <w:t xml:space="preserve"> </w:t>
      </w:r>
      <w:proofErr w:type="spellStart"/>
      <w:r w:rsidRPr="0022558B">
        <w:rPr>
          <w:rFonts w:cstheme="minorHAnsi"/>
          <w:spacing w:val="-4"/>
          <w:sz w:val="18"/>
        </w:rPr>
        <w:t>opdateret</w:t>
      </w:r>
      <w:proofErr w:type="spellEnd"/>
      <w:r w:rsidRPr="0022558B">
        <w:rPr>
          <w:rFonts w:cstheme="minorHAnsi"/>
          <w:spacing w:val="-4"/>
          <w:sz w:val="18"/>
        </w:rPr>
        <w:t xml:space="preserve">: </w:t>
      </w:r>
      <w:proofErr w:type="spellStart"/>
      <w:r w:rsidRPr="0022558B">
        <w:rPr>
          <w:rFonts w:cstheme="minorHAnsi"/>
          <w:spacing w:val="-4"/>
          <w:sz w:val="18"/>
        </w:rPr>
        <w:t>juli</w:t>
      </w:r>
      <w:proofErr w:type="spellEnd"/>
      <w:r w:rsidRPr="0022558B">
        <w:rPr>
          <w:rFonts w:cstheme="minorHAnsi"/>
          <w:spacing w:val="-4"/>
          <w:sz w:val="18"/>
        </w:rPr>
        <w:t xml:space="preserve"> 2023</w:t>
      </w:r>
    </w:p>
    <w:p w14:paraId="69E31620" w14:textId="58F7F8FB" w:rsidR="000C245B" w:rsidRPr="000C245B" w:rsidRDefault="000C245B" w:rsidP="003F2CEE"/>
    <w:p w14:paraId="45560978" w14:textId="3EA3B718" w:rsidR="000C245B" w:rsidRPr="000C245B" w:rsidRDefault="000C245B" w:rsidP="003F2CEE"/>
    <w:sectPr w:rsidR="000C245B" w:rsidRPr="000C24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D0EA" w14:textId="77777777" w:rsidR="00AD6280" w:rsidRDefault="00AD6280" w:rsidP="003F3FA9">
      <w:pPr>
        <w:spacing w:after="0" w:line="240" w:lineRule="auto"/>
      </w:pPr>
      <w:r>
        <w:separator/>
      </w:r>
    </w:p>
  </w:endnote>
  <w:endnote w:type="continuationSeparator" w:id="0">
    <w:p w14:paraId="2BD077A7" w14:textId="77777777" w:rsidR="00AD6280" w:rsidRDefault="00AD6280" w:rsidP="003F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8DA9" w14:textId="77777777" w:rsidR="00AD6280" w:rsidRDefault="00AD6280" w:rsidP="003F3FA9">
      <w:pPr>
        <w:spacing w:after="0" w:line="240" w:lineRule="auto"/>
      </w:pPr>
      <w:r>
        <w:separator/>
      </w:r>
    </w:p>
  </w:footnote>
  <w:footnote w:type="continuationSeparator" w:id="0">
    <w:p w14:paraId="3DC94B32" w14:textId="77777777" w:rsidR="00AD6280" w:rsidRDefault="00AD6280" w:rsidP="003F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965"/>
    <w:multiLevelType w:val="hybridMultilevel"/>
    <w:tmpl w:val="289079B4"/>
    <w:lvl w:ilvl="0" w:tplc="5B3A5C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81967"/>
    <w:multiLevelType w:val="hybridMultilevel"/>
    <w:tmpl w:val="6CC64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526DD"/>
    <w:multiLevelType w:val="hybridMultilevel"/>
    <w:tmpl w:val="5A18D0F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432A1A"/>
    <w:multiLevelType w:val="hybridMultilevel"/>
    <w:tmpl w:val="6A6C2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A3C74"/>
    <w:multiLevelType w:val="hybridMultilevel"/>
    <w:tmpl w:val="FB00DD78"/>
    <w:lvl w:ilvl="0" w:tplc="EBFCB13C">
      <w:numFmt w:val="bullet"/>
      <w:lvlText w:val="•"/>
      <w:lvlJc w:val="left"/>
      <w:pPr>
        <w:ind w:left="278" w:hanging="171"/>
      </w:pPr>
      <w:rPr>
        <w:rFonts w:ascii="Trebuchet MS" w:eastAsia="Trebuchet MS" w:hAnsi="Trebuchet MS" w:cs="Trebuchet MS" w:hint="default"/>
        <w:w w:val="127"/>
        <w:lang w:val="de-DE" w:eastAsia="en-US" w:bidi="ar-SA"/>
      </w:rPr>
    </w:lvl>
    <w:lvl w:ilvl="1" w:tplc="CAB648FC">
      <w:numFmt w:val="bullet"/>
      <w:lvlText w:val="•"/>
      <w:lvlJc w:val="left"/>
      <w:pPr>
        <w:ind w:left="712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252A0"/>
        <w:w w:val="127"/>
        <w:sz w:val="24"/>
        <w:szCs w:val="24"/>
        <w:lang w:val="de-DE" w:eastAsia="en-US" w:bidi="ar-SA"/>
      </w:rPr>
    </w:lvl>
    <w:lvl w:ilvl="2" w:tplc="6EECDA30">
      <w:numFmt w:val="bullet"/>
      <w:lvlText w:val="•"/>
      <w:lvlJc w:val="left"/>
      <w:pPr>
        <w:ind w:left="1407" w:hanging="199"/>
      </w:pPr>
      <w:rPr>
        <w:rFonts w:hint="default"/>
        <w:lang w:val="de-DE" w:eastAsia="en-US" w:bidi="ar-SA"/>
      </w:rPr>
    </w:lvl>
    <w:lvl w:ilvl="3" w:tplc="1EB08612">
      <w:numFmt w:val="bullet"/>
      <w:lvlText w:val="•"/>
      <w:lvlJc w:val="left"/>
      <w:pPr>
        <w:ind w:left="2095" w:hanging="199"/>
      </w:pPr>
      <w:rPr>
        <w:rFonts w:hint="default"/>
        <w:lang w:val="de-DE" w:eastAsia="en-US" w:bidi="ar-SA"/>
      </w:rPr>
    </w:lvl>
    <w:lvl w:ilvl="4" w:tplc="D01E9C98">
      <w:numFmt w:val="bullet"/>
      <w:lvlText w:val="•"/>
      <w:lvlJc w:val="left"/>
      <w:pPr>
        <w:ind w:left="2783" w:hanging="199"/>
      </w:pPr>
      <w:rPr>
        <w:rFonts w:hint="default"/>
        <w:lang w:val="de-DE" w:eastAsia="en-US" w:bidi="ar-SA"/>
      </w:rPr>
    </w:lvl>
    <w:lvl w:ilvl="5" w:tplc="FF38B5F6">
      <w:numFmt w:val="bullet"/>
      <w:lvlText w:val="•"/>
      <w:lvlJc w:val="left"/>
      <w:pPr>
        <w:ind w:left="3471" w:hanging="199"/>
      </w:pPr>
      <w:rPr>
        <w:rFonts w:hint="default"/>
        <w:lang w:val="de-DE" w:eastAsia="en-US" w:bidi="ar-SA"/>
      </w:rPr>
    </w:lvl>
    <w:lvl w:ilvl="6" w:tplc="1DFC9640">
      <w:numFmt w:val="bullet"/>
      <w:lvlText w:val="•"/>
      <w:lvlJc w:val="left"/>
      <w:pPr>
        <w:ind w:left="4159" w:hanging="199"/>
      </w:pPr>
      <w:rPr>
        <w:rFonts w:hint="default"/>
        <w:lang w:val="de-DE" w:eastAsia="en-US" w:bidi="ar-SA"/>
      </w:rPr>
    </w:lvl>
    <w:lvl w:ilvl="7" w:tplc="C2B64546">
      <w:numFmt w:val="bullet"/>
      <w:lvlText w:val="•"/>
      <w:lvlJc w:val="left"/>
      <w:pPr>
        <w:ind w:left="4847" w:hanging="199"/>
      </w:pPr>
      <w:rPr>
        <w:rFonts w:hint="default"/>
        <w:lang w:val="de-DE" w:eastAsia="en-US" w:bidi="ar-SA"/>
      </w:rPr>
    </w:lvl>
    <w:lvl w:ilvl="8" w:tplc="040ED376">
      <w:numFmt w:val="bullet"/>
      <w:lvlText w:val="•"/>
      <w:lvlJc w:val="left"/>
      <w:pPr>
        <w:ind w:left="5534" w:hanging="199"/>
      </w:pPr>
      <w:rPr>
        <w:rFonts w:hint="default"/>
        <w:lang w:val="de-DE" w:eastAsia="en-US" w:bidi="ar-SA"/>
      </w:rPr>
    </w:lvl>
  </w:abstractNum>
  <w:abstractNum w:abstractNumId="5" w15:restartNumberingAfterBreak="0">
    <w:nsid w:val="6FC828F2"/>
    <w:multiLevelType w:val="hybridMultilevel"/>
    <w:tmpl w:val="F990C9C8"/>
    <w:lvl w:ilvl="0" w:tplc="72628770">
      <w:numFmt w:val="bullet"/>
      <w:lvlText w:val="•"/>
      <w:lvlJc w:val="left"/>
      <w:pPr>
        <w:ind w:left="310" w:hanging="20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252A0"/>
        <w:w w:val="127"/>
        <w:sz w:val="22"/>
        <w:szCs w:val="22"/>
        <w:lang w:val="de-DE" w:eastAsia="en-US" w:bidi="ar-SA"/>
      </w:rPr>
    </w:lvl>
    <w:lvl w:ilvl="1" w:tplc="6C06BA46">
      <w:numFmt w:val="bullet"/>
      <w:lvlText w:val="•"/>
      <w:lvlJc w:val="left"/>
      <w:pPr>
        <w:ind w:left="604" w:hanging="202"/>
      </w:pPr>
      <w:rPr>
        <w:rFonts w:hint="default"/>
        <w:lang w:val="de-DE" w:eastAsia="en-US" w:bidi="ar-SA"/>
      </w:rPr>
    </w:lvl>
    <w:lvl w:ilvl="2" w:tplc="91BC3E86">
      <w:numFmt w:val="bullet"/>
      <w:lvlText w:val="•"/>
      <w:lvlJc w:val="left"/>
      <w:pPr>
        <w:ind w:left="908" w:hanging="202"/>
      </w:pPr>
      <w:rPr>
        <w:rFonts w:hint="default"/>
        <w:lang w:val="de-DE" w:eastAsia="en-US" w:bidi="ar-SA"/>
      </w:rPr>
    </w:lvl>
    <w:lvl w:ilvl="3" w:tplc="2C681286">
      <w:numFmt w:val="bullet"/>
      <w:lvlText w:val="•"/>
      <w:lvlJc w:val="left"/>
      <w:pPr>
        <w:ind w:left="1212" w:hanging="202"/>
      </w:pPr>
      <w:rPr>
        <w:rFonts w:hint="default"/>
        <w:lang w:val="de-DE" w:eastAsia="en-US" w:bidi="ar-SA"/>
      </w:rPr>
    </w:lvl>
    <w:lvl w:ilvl="4" w:tplc="E4F071AE">
      <w:numFmt w:val="bullet"/>
      <w:lvlText w:val="•"/>
      <w:lvlJc w:val="left"/>
      <w:pPr>
        <w:ind w:left="1516" w:hanging="202"/>
      </w:pPr>
      <w:rPr>
        <w:rFonts w:hint="default"/>
        <w:lang w:val="de-DE" w:eastAsia="en-US" w:bidi="ar-SA"/>
      </w:rPr>
    </w:lvl>
    <w:lvl w:ilvl="5" w:tplc="B4606C80">
      <w:numFmt w:val="bullet"/>
      <w:lvlText w:val="•"/>
      <w:lvlJc w:val="left"/>
      <w:pPr>
        <w:ind w:left="1820" w:hanging="202"/>
      </w:pPr>
      <w:rPr>
        <w:rFonts w:hint="default"/>
        <w:lang w:val="de-DE" w:eastAsia="en-US" w:bidi="ar-SA"/>
      </w:rPr>
    </w:lvl>
    <w:lvl w:ilvl="6" w:tplc="F68C1302">
      <w:numFmt w:val="bullet"/>
      <w:lvlText w:val="•"/>
      <w:lvlJc w:val="left"/>
      <w:pPr>
        <w:ind w:left="2124" w:hanging="202"/>
      </w:pPr>
      <w:rPr>
        <w:rFonts w:hint="default"/>
        <w:lang w:val="de-DE" w:eastAsia="en-US" w:bidi="ar-SA"/>
      </w:rPr>
    </w:lvl>
    <w:lvl w:ilvl="7" w:tplc="A0E6188A">
      <w:numFmt w:val="bullet"/>
      <w:lvlText w:val="•"/>
      <w:lvlJc w:val="left"/>
      <w:pPr>
        <w:ind w:left="2428" w:hanging="202"/>
      </w:pPr>
      <w:rPr>
        <w:rFonts w:hint="default"/>
        <w:lang w:val="de-DE" w:eastAsia="en-US" w:bidi="ar-SA"/>
      </w:rPr>
    </w:lvl>
    <w:lvl w:ilvl="8" w:tplc="E04C6FF8">
      <w:numFmt w:val="bullet"/>
      <w:lvlText w:val="•"/>
      <w:lvlJc w:val="left"/>
      <w:pPr>
        <w:ind w:left="2732" w:hanging="202"/>
      </w:pPr>
      <w:rPr>
        <w:rFonts w:hint="default"/>
        <w:lang w:val="de-DE" w:eastAsia="en-US" w:bidi="ar-SA"/>
      </w:rPr>
    </w:lvl>
  </w:abstractNum>
  <w:num w:numId="1" w16cid:durableId="1975714426">
    <w:abstractNumId w:val="4"/>
  </w:num>
  <w:num w:numId="2" w16cid:durableId="119763693">
    <w:abstractNumId w:val="5"/>
  </w:num>
  <w:num w:numId="3" w16cid:durableId="852111565">
    <w:abstractNumId w:val="1"/>
  </w:num>
  <w:num w:numId="4" w16cid:durableId="161942763">
    <w:abstractNumId w:val="2"/>
  </w:num>
  <w:num w:numId="5" w16cid:durableId="1569414947">
    <w:abstractNumId w:val="3"/>
  </w:num>
  <w:num w:numId="6" w16cid:durableId="38930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6E"/>
    <w:rsid w:val="000007CE"/>
    <w:rsid w:val="0000126D"/>
    <w:rsid w:val="00015056"/>
    <w:rsid w:val="0002051D"/>
    <w:rsid w:val="00025F3D"/>
    <w:rsid w:val="000346DB"/>
    <w:rsid w:val="00053951"/>
    <w:rsid w:val="00062718"/>
    <w:rsid w:val="00067F4B"/>
    <w:rsid w:val="00085143"/>
    <w:rsid w:val="000A445E"/>
    <w:rsid w:val="000A745A"/>
    <w:rsid w:val="000B5039"/>
    <w:rsid w:val="000C17B8"/>
    <w:rsid w:val="000C245B"/>
    <w:rsid w:val="000E1112"/>
    <w:rsid w:val="000E1F14"/>
    <w:rsid w:val="000E58B2"/>
    <w:rsid w:val="000E6424"/>
    <w:rsid w:val="000F3A5F"/>
    <w:rsid w:val="00102534"/>
    <w:rsid w:val="00117EC3"/>
    <w:rsid w:val="00123616"/>
    <w:rsid w:val="0014373D"/>
    <w:rsid w:val="00147B26"/>
    <w:rsid w:val="001546B5"/>
    <w:rsid w:val="00190011"/>
    <w:rsid w:val="00192FEE"/>
    <w:rsid w:val="001B2870"/>
    <w:rsid w:val="00213E1E"/>
    <w:rsid w:val="00225BF8"/>
    <w:rsid w:val="00235C59"/>
    <w:rsid w:val="002470DD"/>
    <w:rsid w:val="00251250"/>
    <w:rsid w:val="00255C1F"/>
    <w:rsid w:val="00265906"/>
    <w:rsid w:val="00267C01"/>
    <w:rsid w:val="00273478"/>
    <w:rsid w:val="002767FF"/>
    <w:rsid w:val="00294C51"/>
    <w:rsid w:val="00294F05"/>
    <w:rsid w:val="0029767D"/>
    <w:rsid w:val="002B3999"/>
    <w:rsid w:val="002C047A"/>
    <w:rsid w:val="002E4A79"/>
    <w:rsid w:val="00303E08"/>
    <w:rsid w:val="00325491"/>
    <w:rsid w:val="003260A6"/>
    <w:rsid w:val="0034090C"/>
    <w:rsid w:val="003441FC"/>
    <w:rsid w:val="00344F05"/>
    <w:rsid w:val="00375792"/>
    <w:rsid w:val="00376F80"/>
    <w:rsid w:val="00380ECB"/>
    <w:rsid w:val="00391770"/>
    <w:rsid w:val="003B18FA"/>
    <w:rsid w:val="003C1655"/>
    <w:rsid w:val="003E4A23"/>
    <w:rsid w:val="003E5220"/>
    <w:rsid w:val="003F2CEE"/>
    <w:rsid w:val="003F3FA9"/>
    <w:rsid w:val="00400512"/>
    <w:rsid w:val="00410892"/>
    <w:rsid w:val="004155B1"/>
    <w:rsid w:val="004248F3"/>
    <w:rsid w:val="0045012F"/>
    <w:rsid w:val="004567E9"/>
    <w:rsid w:val="004654C5"/>
    <w:rsid w:val="00465B27"/>
    <w:rsid w:val="004778CE"/>
    <w:rsid w:val="00493CAB"/>
    <w:rsid w:val="00496C36"/>
    <w:rsid w:val="004A4133"/>
    <w:rsid w:val="004B3278"/>
    <w:rsid w:val="004D2A48"/>
    <w:rsid w:val="004D641D"/>
    <w:rsid w:val="005030FA"/>
    <w:rsid w:val="00513835"/>
    <w:rsid w:val="00513D0E"/>
    <w:rsid w:val="0052653D"/>
    <w:rsid w:val="00552407"/>
    <w:rsid w:val="00555B13"/>
    <w:rsid w:val="00580AAA"/>
    <w:rsid w:val="005B7241"/>
    <w:rsid w:val="005C5A33"/>
    <w:rsid w:val="005E5D00"/>
    <w:rsid w:val="00630FCC"/>
    <w:rsid w:val="006424CE"/>
    <w:rsid w:val="00655C10"/>
    <w:rsid w:val="00657DC1"/>
    <w:rsid w:val="00657EB2"/>
    <w:rsid w:val="00667F69"/>
    <w:rsid w:val="006708ED"/>
    <w:rsid w:val="00677C6A"/>
    <w:rsid w:val="00682EA7"/>
    <w:rsid w:val="00690979"/>
    <w:rsid w:val="006C224C"/>
    <w:rsid w:val="007164FF"/>
    <w:rsid w:val="007301EF"/>
    <w:rsid w:val="00730D14"/>
    <w:rsid w:val="007334AE"/>
    <w:rsid w:val="00740AE4"/>
    <w:rsid w:val="00745C1C"/>
    <w:rsid w:val="00754B62"/>
    <w:rsid w:val="00755DD1"/>
    <w:rsid w:val="00756D75"/>
    <w:rsid w:val="007617B6"/>
    <w:rsid w:val="0076189B"/>
    <w:rsid w:val="00761D68"/>
    <w:rsid w:val="00764E57"/>
    <w:rsid w:val="00784274"/>
    <w:rsid w:val="0079187C"/>
    <w:rsid w:val="007A32C4"/>
    <w:rsid w:val="007A73E5"/>
    <w:rsid w:val="007B12C4"/>
    <w:rsid w:val="007B3F21"/>
    <w:rsid w:val="007B60F3"/>
    <w:rsid w:val="007B6B89"/>
    <w:rsid w:val="007D3C6C"/>
    <w:rsid w:val="00800900"/>
    <w:rsid w:val="0080482C"/>
    <w:rsid w:val="00811564"/>
    <w:rsid w:val="00836CA0"/>
    <w:rsid w:val="008425CA"/>
    <w:rsid w:val="00853655"/>
    <w:rsid w:val="00864DFA"/>
    <w:rsid w:val="008659B7"/>
    <w:rsid w:val="00882603"/>
    <w:rsid w:val="00886D54"/>
    <w:rsid w:val="008919A4"/>
    <w:rsid w:val="008A21E8"/>
    <w:rsid w:val="008C3875"/>
    <w:rsid w:val="008C653D"/>
    <w:rsid w:val="008C7377"/>
    <w:rsid w:val="008E54A9"/>
    <w:rsid w:val="008E75C0"/>
    <w:rsid w:val="00951D44"/>
    <w:rsid w:val="009738E2"/>
    <w:rsid w:val="00975603"/>
    <w:rsid w:val="0098453A"/>
    <w:rsid w:val="009A11A6"/>
    <w:rsid w:val="009C0609"/>
    <w:rsid w:val="009C1FE3"/>
    <w:rsid w:val="009C2E7D"/>
    <w:rsid w:val="009C4E62"/>
    <w:rsid w:val="009C76CA"/>
    <w:rsid w:val="009E5AE3"/>
    <w:rsid w:val="009E70A0"/>
    <w:rsid w:val="00A0206A"/>
    <w:rsid w:val="00A21DD3"/>
    <w:rsid w:val="00A23929"/>
    <w:rsid w:val="00A24445"/>
    <w:rsid w:val="00A421CA"/>
    <w:rsid w:val="00A42466"/>
    <w:rsid w:val="00A44C8B"/>
    <w:rsid w:val="00A62069"/>
    <w:rsid w:val="00A6258C"/>
    <w:rsid w:val="00A82877"/>
    <w:rsid w:val="00AA636E"/>
    <w:rsid w:val="00AB13D5"/>
    <w:rsid w:val="00AB1636"/>
    <w:rsid w:val="00AD4C64"/>
    <w:rsid w:val="00AD6280"/>
    <w:rsid w:val="00AF36BC"/>
    <w:rsid w:val="00B04AF9"/>
    <w:rsid w:val="00B1365F"/>
    <w:rsid w:val="00B20CEF"/>
    <w:rsid w:val="00B23689"/>
    <w:rsid w:val="00B43625"/>
    <w:rsid w:val="00B53577"/>
    <w:rsid w:val="00B8420D"/>
    <w:rsid w:val="00B91089"/>
    <w:rsid w:val="00B9291D"/>
    <w:rsid w:val="00B97A00"/>
    <w:rsid w:val="00BB06C3"/>
    <w:rsid w:val="00BB3B8E"/>
    <w:rsid w:val="00BB4B1D"/>
    <w:rsid w:val="00BB5616"/>
    <w:rsid w:val="00BC490D"/>
    <w:rsid w:val="00BC65BA"/>
    <w:rsid w:val="00BD14F4"/>
    <w:rsid w:val="00BD3886"/>
    <w:rsid w:val="00BD448A"/>
    <w:rsid w:val="00BE19EE"/>
    <w:rsid w:val="00BE7F30"/>
    <w:rsid w:val="00C04263"/>
    <w:rsid w:val="00C04718"/>
    <w:rsid w:val="00C32ED7"/>
    <w:rsid w:val="00C3631F"/>
    <w:rsid w:val="00C41C06"/>
    <w:rsid w:val="00C52B21"/>
    <w:rsid w:val="00C53229"/>
    <w:rsid w:val="00CA79DC"/>
    <w:rsid w:val="00CB2437"/>
    <w:rsid w:val="00CC3D7E"/>
    <w:rsid w:val="00CC4C80"/>
    <w:rsid w:val="00CD13AD"/>
    <w:rsid w:val="00CE686E"/>
    <w:rsid w:val="00D30707"/>
    <w:rsid w:val="00D36205"/>
    <w:rsid w:val="00D45501"/>
    <w:rsid w:val="00D63D5C"/>
    <w:rsid w:val="00D77045"/>
    <w:rsid w:val="00DA3026"/>
    <w:rsid w:val="00DB62BB"/>
    <w:rsid w:val="00DB6DDE"/>
    <w:rsid w:val="00DC492D"/>
    <w:rsid w:val="00DC7E4B"/>
    <w:rsid w:val="00DD54BA"/>
    <w:rsid w:val="00DE2199"/>
    <w:rsid w:val="00DF5038"/>
    <w:rsid w:val="00E0658E"/>
    <w:rsid w:val="00E1236B"/>
    <w:rsid w:val="00E235E2"/>
    <w:rsid w:val="00E330D7"/>
    <w:rsid w:val="00E57D91"/>
    <w:rsid w:val="00E677EE"/>
    <w:rsid w:val="00E77149"/>
    <w:rsid w:val="00EA131E"/>
    <w:rsid w:val="00EA1F4C"/>
    <w:rsid w:val="00EC46D4"/>
    <w:rsid w:val="00EC68FD"/>
    <w:rsid w:val="00ED598D"/>
    <w:rsid w:val="00F11FBB"/>
    <w:rsid w:val="00F353AC"/>
    <w:rsid w:val="00F42516"/>
    <w:rsid w:val="00F434AD"/>
    <w:rsid w:val="00F45A10"/>
    <w:rsid w:val="00F64F01"/>
    <w:rsid w:val="00F7092D"/>
    <w:rsid w:val="00F76B60"/>
    <w:rsid w:val="00F87B1B"/>
    <w:rsid w:val="00FB79F7"/>
    <w:rsid w:val="00FB7E41"/>
    <w:rsid w:val="00FC2364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2B618"/>
  <w15:chartTrackingRefBased/>
  <w15:docId w15:val="{8A9ED006-146E-43D4-97BE-F6B578EF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0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E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24445"/>
    <w:pPr>
      <w:widowControl w:val="0"/>
      <w:autoSpaceDE w:val="0"/>
      <w:autoSpaceDN w:val="0"/>
      <w:spacing w:before="73" w:after="0" w:line="240" w:lineRule="auto"/>
      <w:ind w:left="108"/>
    </w:pPr>
    <w:rPr>
      <w:rFonts w:ascii="Trebuchet MS" w:eastAsia="Trebuchet MS" w:hAnsi="Trebuchet MS" w:cs="Trebuchet MS"/>
    </w:rPr>
  </w:style>
  <w:style w:type="character" w:styleId="Hyperlink">
    <w:name w:val="Hyperlink"/>
    <w:basedOn w:val="Standardskrifttypeiafsnit"/>
    <w:uiPriority w:val="99"/>
    <w:unhideWhenUsed/>
    <w:rsid w:val="0080482C"/>
    <w:rPr>
      <w:color w:val="0563C1" w:themeColor="hyperlink"/>
      <w:u w:val="single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80482C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0C245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1"/>
    <w:rsid w:val="000C245B"/>
    <w:rPr>
      <w:rFonts w:ascii="Trebuchet MS" w:eastAsia="Trebuchet MS" w:hAnsi="Trebuchet MS" w:cs="Trebuchet MS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190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011"/>
  </w:style>
  <w:style w:type="paragraph" w:styleId="Sidefod">
    <w:name w:val="footer"/>
    <w:basedOn w:val="Normal"/>
    <w:link w:val="SidefodTegn"/>
    <w:uiPriority w:val="99"/>
    <w:unhideWhenUsed/>
    <w:rsid w:val="00190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011"/>
  </w:style>
  <w:style w:type="paragraph" w:styleId="Korrektur">
    <w:name w:val="Revision"/>
    <w:hidden/>
    <w:uiPriority w:val="99"/>
    <w:semiHidden/>
    <w:rsid w:val="00410892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108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1089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10892"/>
    <w:rPr>
      <w:sz w:val="20"/>
      <w:szCs w:val="20"/>
    </w:rPr>
  </w:style>
  <w:style w:type="paragraph" w:styleId="Listeafsnit">
    <w:name w:val="List Paragraph"/>
    <w:basedOn w:val="Normal"/>
    <w:uiPriority w:val="1"/>
    <w:qFormat/>
    <w:rsid w:val="00410892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9C4E62"/>
    <w:rPr>
      <w:color w:val="80808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B243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B243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8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cf01">
    <w:name w:val="cf01"/>
    <w:basedOn w:val="Standardskrifttypeiafsnit"/>
    <w:rsid w:val="00085143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BC6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v-S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90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690979"/>
    <w:pPr>
      <w:outlineLvl w:val="9"/>
    </w:pPr>
    <w:rPr>
      <w:lang w:val="da-DK"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90979"/>
    <w:pPr>
      <w:spacing w:after="10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3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3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5E76A19B324DAD49C6F434D64CEB" ma:contentTypeVersion="26" ma:contentTypeDescription="Create a new document." ma:contentTypeScope="" ma:versionID="bcd1edf207f6157d40c1c421f9fd92d3">
  <xsd:schema xmlns:xsd="http://www.w3.org/2001/XMLSchema" xmlns:xs="http://www.w3.org/2001/XMLSchema" xmlns:p="http://schemas.microsoft.com/office/2006/metadata/properties" xmlns:ns2="833167a2-bd5d-41c9-82f5-b9c7ba34eb9e" xmlns:ns3="835173d4-e344-49c6-a925-d348c01650d9" targetNamespace="http://schemas.microsoft.com/office/2006/metadata/properties" ma:root="true" ma:fieldsID="1df83c0767285525ba9af188cf02ba0e" ns2:_="" ns3:_="">
    <xsd:import namespace="833167a2-bd5d-41c9-82f5-b9c7ba34eb9e"/>
    <xsd:import namespace="835173d4-e344-49c6-a925-d348c0165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167a2-bd5d-41c9-82f5-b9c7ba34e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173d4-e344-49c6-a925-d348c01650d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7caf88-fb8a-4fcd-a04f-fea74fa5edad}" ma:internalName="TaxCatchAll" ma:showField="CatchAllData" ma:web="835173d4-e344-49c6-a925-d348c0165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173d4-e344-49c6-a925-d348c01650d9" xsi:nil="true"/>
    <lcf76f155ced4ddcb4097134ff3c332f xmlns="833167a2-bd5d-41c9-82f5-b9c7ba34eb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5342BB-C8F8-4A85-A08F-8E87363CD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06519-F384-4203-A686-620DDF05F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167a2-bd5d-41c9-82f5-b9c7ba34eb9e"/>
    <ds:schemaRef ds:uri="835173d4-e344-49c6-a925-d348c0165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96EAA-A76B-4906-AE5E-5AA14E0AF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3CB4C-FF83-4DC4-AF24-F42A49149A22}">
  <ds:schemaRefs>
    <ds:schemaRef ds:uri="http://purl.org/dc/dcmitype/"/>
    <ds:schemaRef ds:uri="http://purl.org/dc/terms/"/>
    <ds:schemaRef ds:uri="835173d4-e344-49c6-a925-d348c01650d9"/>
    <ds:schemaRef ds:uri="http://schemas.microsoft.com/office/2006/documentManagement/types"/>
    <ds:schemaRef ds:uri="http://purl.org/dc/elements/1.1/"/>
    <ds:schemaRef ds:uri="http://schemas.microsoft.com/office/2006/metadata/properties"/>
    <ds:schemaRef ds:uri="833167a2-bd5d-41c9-82f5-b9c7ba34eb9e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2038</Words>
  <Characters>12438</Characters>
  <Application>Microsoft Office Word</Application>
  <DocSecurity>4</DocSecurity>
  <Lines>103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Anne-Dorthe Nielsen</dc:creator>
  <cp:keywords/>
  <dc:description/>
  <cp:lastModifiedBy>Seeberg Jens Svanholt</cp:lastModifiedBy>
  <cp:revision>2</cp:revision>
  <dcterms:created xsi:type="dcterms:W3CDTF">2024-11-25T11:40:00Z</dcterms:created>
  <dcterms:modified xsi:type="dcterms:W3CDTF">2024-11-25T11:40:00Z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2023-08-03T09:57:31Z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dd8ea86a-4d88-4a9b-b31e-c60ac275bce8</vt:lpwstr>
  </property>
  <property fmtid="{D5CDD505-2E9C-101B-9397-08002B2CF9AE}" pid="8" name="MSIP_Label_3c9bec58-8084-492e-8360-0e1cfe36408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0x0101006F325E76A19B324DAD49C6F434D64CEB</vt:lpwstr>
  </property>
</Properties>
</file>