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889F9" w14:textId="29774380" w:rsidR="00C52B21" w:rsidRDefault="00C52B21" w:rsidP="00C52B21"/>
    <w:p w14:paraId="6D61D483" w14:textId="77777777" w:rsidR="00C34EEE" w:rsidRPr="00C24612" w:rsidRDefault="00C34EEE" w:rsidP="00C34EEE">
      <w:pPr>
        <w:spacing w:after="0" w:line="240" w:lineRule="auto"/>
        <w:ind w:left="10" w:hanging="10"/>
        <w:contextualSpacing/>
        <w:jc w:val="center"/>
        <w:rPr>
          <w:rFonts w:ascii="Arial Narrow" w:eastAsia="Times New Roman" w:hAnsi="Arial Narrow" w:cs="Times New Roman"/>
          <w:b/>
          <w:bCs/>
          <w:color w:val="0070C0"/>
          <w:spacing w:val="-10"/>
          <w:w w:val="115"/>
          <w:kern w:val="28"/>
          <w:sz w:val="40"/>
          <w:szCs w:val="40"/>
          <w:lang w:val="da-DK" w:eastAsia="de-DE"/>
        </w:rPr>
      </w:pPr>
      <w:r w:rsidRPr="00C24612">
        <w:rPr>
          <w:rFonts w:ascii="Arial Narrow" w:eastAsia="Times New Roman" w:hAnsi="Arial Narrow" w:cs="Times New Roman"/>
          <w:b/>
          <w:bCs/>
          <w:color w:val="0070C0"/>
          <w:spacing w:val="-10"/>
          <w:w w:val="115"/>
          <w:kern w:val="28"/>
          <w:sz w:val="40"/>
          <w:szCs w:val="40"/>
          <w:lang w:eastAsia="de-DE"/>
        </w:rPr>
        <w:t>Guide til reduktion af lægemiddel- og brugsrisici - Sundhedspersonale</w:t>
      </w:r>
    </w:p>
    <w:p w14:paraId="5D228E60" w14:textId="49D9EB34" w:rsidR="00C34EEE" w:rsidRPr="00DB2CE6" w:rsidRDefault="00C34EEE" w:rsidP="00C34EEE">
      <w:pPr>
        <w:spacing w:after="194" w:line="247" w:lineRule="auto"/>
        <w:ind w:left="10" w:hanging="10"/>
        <w:jc w:val="center"/>
        <w:rPr>
          <w:rFonts w:ascii="Arial Narrow" w:eastAsia="Calibri" w:hAnsi="Arial Narrow" w:cs="Calibri"/>
          <w:color w:val="000000"/>
          <w:sz w:val="24"/>
          <w:lang w:val="da-DK" w:eastAsia="de-DE"/>
        </w:rPr>
      </w:pPr>
      <w:r w:rsidRPr="005F201A">
        <w:rPr>
          <w:rFonts w:ascii="Arial Narrow" w:eastAsia="Calibri" w:hAnsi="Arial Narrow" w:cs="Calibri"/>
          <w:color w:val="000000"/>
          <w:sz w:val="24"/>
          <w:lang w:eastAsia="de-DE"/>
        </w:rPr>
        <w:t xml:space="preserve">Se </w:t>
      </w:r>
      <w:proofErr w:type="spellStart"/>
      <w:r w:rsidRPr="005F201A">
        <w:rPr>
          <w:rFonts w:ascii="Arial Narrow" w:eastAsia="Calibri" w:hAnsi="Arial Narrow" w:cs="Calibri"/>
          <w:color w:val="000000"/>
          <w:sz w:val="24"/>
          <w:lang w:eastAsia="de-DE"/>
        </w:rPr>
        <w:t>også</w:t>
      </w:r>
      <w:proofErr w:type="spellEnd"/>
      <w:r w:rsidRPr="005F201A">
        <w:rPr>
          <w:rFonts w:ascii="Arial Narrow" w:eastAsia="Calibri" w:hAnsi="Arial Narrow" w:cs="Calibri"/>
          <w:color w:val="000000"/>
          <w:sz w:val="24"/>
          <w:lang w:eastAsia="de-DE"/>
        </w:rPr>
        <w:t xml:space="preserve"> </w:t>
      </w:r>
      <w:proofErr w:type="spellStart"/>
      <w:r w:rsidR="00827A27">
        <w:rPr>
          <w:bCs/>
          <w:sz w:val="24"/>
          <w:szCs w:val="24"/>
        </w:rPr>
        <w:t>produktresuméet</w:t>
      </w:r>
      <w:proofErr w:type="spellEnd"/>
      <w:r w:rsidR="00827A27">
        <w:rPr>
          <w:bCs/>
          <w:sz w:val="24"/>
          <w:szCs w:val="24"/>
        </w:rPr>
        <w:t>/</w:t>
      </w:r>
      <w:proofErr w:type="spellStart"/>
      <w:r w:rsidR="00827A27">
        <w:rPr>
          <w:bCs/>
          <w:sz w:val="24"/>
          <w:szCs w:val="24"/>
        </w:rPr>
        <w:t>indlægssedlen</w:t>
      </w:r>
      <w:proofErr w:type="spellEnd"/>
      <w:r w:rsidR="00827A27">
        <w:rPr>
          <w:bCs/>
          <w:sz w:val="24"/>
          <w:szCs w:val="24"/>
        </w:rPr>
        <w:t xml:space="preserve"> </w:t>
      </w:r>
      <w:proofErr w:type="spellStart"/>
      <w:r w:rsidR="00827A27">
        <w:rPr>
          <w:bCs/>
          <w:sz w:val="24"/>
          <w:szCs w:val="24"/>
        </w:rPr>
        <w:t>om</w:t>
      </w:r>
      <w:proofErr w:type="spellEnd"/>
      <w:r w:rsidR="00827A27">
        <w:rPr>
          <w:bCs/>
          <w:sz w:val="24"/>
          <w:szCs w:val="24"/>
        </w:rPr>
        <w:t xml:space="preserve"> </w:t>
      </w:r>
      <w:proofErr w:type="spellStart"/>
      <w:r w:rsidRPr="005F201A">
        <w:rPr>
          <w:rFonts w:ascii="Arial Narrow" w:eastAsia="Calibri" w:hAnsi="Arial Narrow" w:cs="Calibri"/>
          <w:color w:val="000000"/>
          <w:sz w:val="24"/>
          <w:lang w:eastAsia="de-DE"/>
        </w:rPr>
        <w:t>dabigatranetexilat</w:t>
      </w:r>
      <w:proofErr w:type="spellEnd"/>
    </w:p>
    <w:p w14:paraId="0D81E9D3" w14:textId="17F54823" w:rsidR="0092627A" w:rsidRDefault="0092627A" w:rsidP="008450CD">
      <w:pPr>
        <w:pStyle w:val="Default"/>
        <w:jc w:val="center"/>
        <w:rPr>
          <w:rFonts w:asciiTheme="minorHAnsi" w:hAnsiTheme="minorHAnsi" w:cstheme="minorHAnsi"/>
          <w:b/>
          <w:sz w:val="40"/>
        </w:rPr>
      </w:pPr>
    </w:p>
    <w:p w14:paraId="0B12BA14" w14:textId="1C77BB3C" w:rsidR="0092627A" w:rsidRDefault="0092627A" w:rsidP="008450CD">
      <w:pPr>
        <w:pStyle w:val="Default"/>
        <w:jc w:val="center"/>
        <w:rPr>
          <w:rFonts w:asciiTheme="minorHAnsi" w:hAnsiTheme="minorHAnsi" w:cstheme="minorHAnsi"/>
          <w:b/>
          <w:sz w:val="40"/>
        </w:rPr>
      </w:pPr>
      <w:proofErr w:type="spellStart"/>
      <w:r w:rsidRPr="0092627A">
        <w:rPr>
          <w:rFonts w:asciiTheme="minorHAnsi" w:hAnsiTheme="minorHAnsi" w:cstheme="minorHAnsi"/>
          <w:b/>
          <w:sz w:val="40"/>
        </w:rPr>
        <w:t>Dabigatran-etexilat</w:t>
      </w:r>
      <w:proofErr w:type="spellEnd"/>
      <w:r w:rsidRPr="0092627A">
        <w:rPr>
          <w:rFonts w:asciiTheme="minorHAnsi" w:hAnsiTheme="minorHAnsi" w:cstheme="minorHAnsi"/>
          <w:b/>
          <w:sz w:val="40"/>
        </w:rPr>
        <w:t xml:space="preserve"> STADA </w:t>
      </w:r>
      <w:r w:rsidR="008B45A9">
        <w:rPr>
          <w:rFonts w:asciiTheme="minorHAnsi" w:hAnsiTheme="minorHAnsi" w:cstheme="minorHAnsi"/>
          <w:b/>
          <w:sz w:val="40"/>
        </w:rPr>
        <w:t>110 mg</w:t>
      </w:r>
    </w:p>
    <w:p w14:paraId="5AEE0B8B" w14:textId="77777777" w:rsidR="008B45A9" w:rsidRDefault="0092627A" w:rsidP="008450CD">
      <w:pPr>
        <w:pStyle w:val="Default"/>
        <w:jc w:val="center"/>
        <w:rPr>
          <w:rFonts w:asciiTheme="minorHAnsi" w:hAnsiTheme="minorHAnsi" w:cstheme="minorHAnsi"/>
          <w:b/>
          <w:sz w:val="40"/>
        </w:rPr>
      </w:pPr>
      <w:proofErr w:type="spellStart"/>
      <w:r w:rsidRPr="0092627A">
        <w:rPr>
          <w:rFonts w:asciiTheme="minorHAnsi" w:hAnsiTheme="minorHAnsi" w:cstheme="minorHAnsi"/>
          <w:b/>
          <w:sz w:val="40"/>
        </w:rPr>
        <w:t>Dabigatran-etexilat</w:t>
      </w:r>
      <w:proofErr w:type="spellEnd"/>
      <w:r w:rsidRPr="0092627A">
        <w:rPr>
          <w:rFonts w:asciiTheme="minorHAnsi" w:hAnsiTheme="minorHAnsi" w:cstheme="minorHAnsi"/>
          <w:b/>
          <w:sz w:val="40"/>
        </w:rPr>
        <w:t xml:space="preserve"> STADA </w:t>
      </w:r>
      <w:r>
        <w:rPr>
          <w:rFonts w:asciiTheme="minorHAnsi" w:hAnsiTheme="minorHAnsi" w:cstheme="minorHAnsi"/>
          <w:b/>
          <w:sz w:val="40"/>
        </w:rPr>
        <w:t>150 mg</w:t>
      </w:r>
    </w:p>
    <w:p w14:paraId="13430CEF" w14:textId="7A4A1E3F" w:rsidR="008450CD" w:rsidRPr="008D431B" w:rsidRDefault="008450CD" w:rsidP="008450CD">
      <w:pPr>
        <w:pStyle w:val="Default"/>
        <w:jc w:val="center"/>
        <w:rPr>
          <w:rFonts w:asciiTheme="minorHAnsi" w:hAnsiTheme="minorHAnsi" w:cstheme="minorHAnsi"/>
          <w:b/>
          <w:sz w:val="40"/>
          <w:lang w:val="nn-NO"/>
        </w:rPr>
      </w:pPr>
      <w:r w:rsidRPr="00FC25CB">
        <w:rPr>
          <w:rFonts w:asciiTheme="minorHAnsi" w:hAnsiTheme="minorHAnsi" w:cstheme="minorHAnsi"/>
          <w:b/>
          <w:sz w:val="40"/>
        </w:rPr>
        <w:t xml:space="preserve"> </w:t>
      </w:r>
    </w:p>
    <w:p w14:paraId="7932DC42" w14:textId="18DDC774" w:rsidR="008B45A9" w:rsidRDefault="008B45A9" w:rsidP="008450CD">
      <w:pPr>
        <w:spacing w:after="194" w:line="247" w:lineRule="auto"/>
        <w:ind w:left="10" w:hanging="10"/>
        <w:jc w:val="center"/>
        <w:rPr>
          <w:rFonts w:cstheme="minorHAnsi"/>
          <w:b/>
          <w:sz w:val="40"/>
        </w:rPr>
      </w:pPr>
      <w:r w:rsidRPr="00FC25CB">
        <w:rPr>
          <w:rFonts w:cstheme="minorHAnsi"/>
          <w:b/>
          <w:sz w:val="40"/>
        </w:rPr>
        <w:t>Dabigatran-etexilat STADA Nordic</w:t>
      </w:r>
      <w:r>
        <w:rPr>
          <w:rFonts w:cstheme="minorHAnsi"/>
          <w:b/>
          <w:sz w:val="40"/>
        </w:rPr>
        <w:t xml:space="preserve"> </w:t>
      </w:r>
      <w:r w:rsidR="00E21D8B">
        <w:rPr>
          <w:rFonts w:cstheme="minorHAnsi"/>
          <w:b/>
          <w:sz w:val="40"/>
        </w:rPr>
        <w:t>110 mg</w:t>
      </w:r>
    </w:p>
    <w:p w14:paraId="30C9DA79" w14:textId="0F5FEA27" w:rsidR="008B45A9" w:rsidRPr="008D431B" w:rsidRDefault="008B45A9" w:rsidP="008450CD">
      <w:pPr>
        <w:spacing w:after="194" w:line="247" w:lineRule="auto"/>
        <w:ind w:left="10" w:hanging="10"/>
        <w:jc w:val="center"/>
        <w:rPr>
          <w:rFonts w:ascii="Arial Narrow" w:eastAsia="Calibri" w:hAnsi="Arial Narrow" w:cs="Calibri"/>
          <w:color w:val="000000"/>
          <w:sz w:val="24"/>
          <w:lang w:val="nn-NO" w:eastAsia="de-DE"/>
        </w:rPr>
      </w:pPr>
      <w:r w:rsidRPr="00FC25CB">
        <w:rPr>
          <w:rFonts w:cstheme="minorHAnsi"/>
          <w:b/>
          <w:sz w:val="40"/>
        </w:rPr>
        <w:t>Dabigatran-</w:t>
      </w:r>
      <w:proofErr w:type="spellStart"/>
      <w:r w:rsidRPr="00FC25CB">
        <w:rPr>
          <w:rFonts w:cstheme="minorHAnsi"/>
          <w:b/>
          <w:sz w:val="40"/>
        </w:rPr>
        <w:t>etexilat</w:t>
      </w:r>
      <w:proofErr w:type="spellEnd"/>
      <w:r w:rsidRPr="00FC25CB">
        <w:rPr>
          <w:rFonts w:cstheme="minorHAnsi"/>
          <w:b/>
          <w:sz w:val="40"/>
        </w:rPr>
        <w:t xml:space="preserve"> STADA Nordic</w:t>
      </w:r>
      <w:r w:rsidR="00E21D8B">
        <w:rPr>
          <w:rFonts w:cstheme="minorHAnsi"/>
          <w:b/>
          <w:sz w:val="40"/>
        </w:rPr>
        <w:t xml:space="preserve"> 150 mg</w:t>
      </w:r>
    </w:p>
    <w:p w14:paraId="6D3EC926" w14:textId="4E41E3A4" w:rsidR="00C52B21" w:rsidRPr="00E20683" w:rsidRDefault="008450CD" w:rsidP="006E5683">
      <w:pPr>
        <w:jc w:val="center"/>
        <w:rPr>
          <w:b/>
          <w:bCs/>
          <w:lang w:val="da-DK"/>
        </w:rPr>
      </w:pPr>
      <w:r>
        <w:rPr>
          <w:rFonts w:ascii="Arial Narrow" w:eastAsia="Calibri" w:hAnsi="Arial Narrow" w:cs="Calibri"/>
          <w:b/>
          <w:color w:val="000000"/>
          <w:sz w:val="40"/>
          <w:szCs w:val="40"/>
        </w:rPr>
        <w:t>(</w:t>
      </w:r>
      <w:proofErr w:type="spellStart"/>
      <w:r>
        <w:rPr>
          <w:rFonts w:ascii="Arial Narrow" w:eastAsia="Calibri" w:hAnsi="Arial Narrow" w:cs="Calibri"/>
          <w:b/>
          <w:color w:val="000000"/>
          <w:sz w:val="40"/>
          <w:szCs w:val="40"/>
        </w:rPr>
        <w:t>dabigatranetexilat</w:t>
      </w:r>
      <w:proofErr w:type="spellEnd"/>
      <w:r>
        <w:rPr>
          <w:rFonts w:ascii="Arial Narrow" w:eastAsia="Calibri" w:hAnsi="Arial Narrow" w:cs="Calibri"/>
          <w:b/>
          <w:color w:val="000000"/>
          <w:sz w:val="40"/>
          <w:szCs w:val="40"/>
        </w:rPr>
        <w:t>)</w:t>
      </w:r>
    </w:p>
    <w:p w14:paraId="3E4CA618" w14:textId="05EF3916" w:rsidR="00C52B21" w:rsidRPr="00DB2CE6" w:rsidRDefault="00C52B21" w:rsidP="00C52B21">
      <w:pPr>
        <w:rPr>
          <w:b/>
          <w:bCs/>
          <w:lang w:val="da-DK"/>
        </w:rPr>
      </w:pPr>
      <w:proofErr w:type="spellStart"/>
      <w:r w:rsidRPr="005F201A">
        <w:rPr>
          <w:b/>
          <w:bCs/>
        </w:rPr>
        <w:t>Anbefalingerne</w:t>
      </w:r>
      <w:proofErr w:type="spellEnd"/>
      <w:r w:rsidRPr="005F201A">
        <w:rPr>
          <w:b/>
          <w:bCs/>
        </w:rPr>
        <w:t xml:space="preserve"> </w:t>
      </w:r>
      <w:proofErr w:type="spellStart"/>
      <w:r w:rsidR="00DC4624">
        <w:rPr>
          <w:b/>
          <w:bCs/>
        </w:rPr>
        <w:t>vedrører</w:t>
      </w:r>
      <w:proofErr w:type="spellEnd"/>
      <w:r w:rsidR="00DC4624" w:rsidRPr="005F201A">
        <w:rPr>
          <w:b/>
          <w:bCs/>
        </w:rPr>
        <w:t xml:space="preserve"> </w:t>
      </w:r>
      <w:proofErr w:type="spellStart"/>
      <w:r w:rsidRPr="005F201A">
        <w:rPr>
          <w:b/>
          <w:bCs/>
        </w:rPr>
        <w:t>kun</w:t>
      </w:r>
      <w:proofErr w:type="spellEnd"/>
      <w:r w:rsidRPr="005F201A">
        <w:rPr>
          <w:b/>
          <w:bCs/>
        </w:rPr>
        <w:t xml:space="preserve"> </w:t>
      </w:r>
      <w:proofErr w:type="spellStart"/>
      <w:r w:rsidRPr="005F201A">
        <w:rPr>
          <w:b/>
          <w:bCs/>
        </w:rPr>
        <w:t>indikationerne</w:t>
      </w:r>
      <w:proofErr w:type="spellEnd"/>
      <w:r w:rsidRPr="005F201A">
        <w:rPr>
          <w:b/>
          <w:bCs/>
        </w:rPr>
        <w:t>:</w:t>
      </w:r>
    </w:p>
    <w:p w14:paraId="1D8CC25C" w14:textId="422B3D4D" w:rsidR="00C52B21" w:rsidRPr="00DB2CE6" w:rsidRDefault="00C52B21" w:rsidP="00C52B21">
      <w:pPr>
        <w:rPr>
          <w:lang w:val="da-DK"/>
        </w:rPr>
      </w:pPr>
      <w:r w:rsidRPr="005F201A">
        <w:t>• Forebyggelse af apopleksi og systemisk emboli hos voksne patienter med ikke-valvulær atrieflimren med en eller flere risikofaktorer (SPAF)</w:t>
      </w:r>
    </w:p>
    <w:p w14:paraId="3C08FC85" w14:textId="3BBC4868" w:rsidR="00C52B21" w:rsidRPr="00DB2CE6" w:rsidRDefault="00C52B21" w:rsidP="00C52B21">
      <w:pPr>
        <w:rPr>
          <w:lang w:val="da-DK"/>
        </w:rPr>
      </w:pPr>
      <w:r w:rsidRPr="005F201A">
        <w:t xml:space="preserve">• </w:t>
      </w:r>
      <w:proofErr w:type="spellStart"/>
      <w:r w:rsidRPr="005F201A">
        <w:t>Behandling</w:t>
      </w:r>
      <w:proofErr w:type="spellEnd"/>
      <w:r w:rsidRPr="005F201A">
        <w:t xml:space="preserve"> </w:t>
      </w:r>
      <w:proofErr w:type="spellStart"/>
      <w:r w:rsidRPr="005F201A">
        <w:t>af</w:t>
      </w:r>
      <w:proofErr w:type="spellEnd"/>
      <w:r w:rsidRPr="005F201A">
        <w:t xml:space="preserve"> </w:t>
      </w:r>
      <w:proofErr w:type="spellStart"/>
      <w:r w:rsidRPr="005F201A">
        <w:t>dyb</w:t>
      </w:r>
      <w:proofErr w:type="spellEnd"/>
      <w:r w:rsidRPr="005F201A">
        <w:t xml:space="preserve"> </w:t>
      </w:r>
      <w:proofErr w:type="spellStart"/>
      <w:r w:rsidRPr="005F201A">
        <w:t>venetrombose</w:t>
      </w:r>
      <w:proofErr w:type="spellEnd"/>
      <w:r w:rsidRPr="005F201A">
        <w:t xml:space="preserve"> (DVT) </w:t>
      </w:r>
      <w:proofErr w:type="spellStart"/>
      <w:r w:rsidRPr="005F201A">
        <w:t>og</w:t>
      </w:r>
      <w:proofErr w:type="spellEnd"/>
      <w:r w:rsidRPr="005F201A">
        <w:t xml:space="preserve"> </w:t>
      </w:r>
      <w:proofErr w:type="spellStart"/>
      <w:r w:rsidRPr="005F201A">
        <w:t>lungeemboli</w:t>
      </w:r>
      <w:proofErr w:type="spellEnd"/>
      <w:r w:rsidRPr="005F201A">
        <w:t xml:space="preserve"> (</w:t>
      </w:r>
      <w:r w:rsidR="00AE3D36">
        <w:t>L</w:t>
      </w:r>
      <w:r w:rsidRPr="005F201A">
        <w:t xml:space="preserve">E) </w:t>
      </w:r>
      <w:proofErr w:type="spellStart"/>
      <w:r w:rsidRPr="005F201A">
        <w:t>og</w:t>
      </w:r>
      <w:proofErr w:type="spellEnd"/>
      <w:r w:rsidRPr="005F201A">
        <w:t xml:space="preserve"> </w:t>
      </w:r>
      <w:proofErr w:type="spellStart"/>
      <w:r w:rsidRPr="005F201A">
        <w:t>forebyggelse</w:t>
      </w:r>
      <w:proofErr w:type="spellEnd"/>
      <w:r w:rsidRPr="005F201A">
        <w:t xml:space="preserve"> </w:t>
      </w:r>
      <w:proofErr w:type="spellStart"/>
      <w:r w:rsidRPr="005F201A">
        <w:t>af</w:t>
      </w:r>
      <w:proofErr w:type="spellEnd"/>
      <w:r w:rsidRPr="005F201A">
        <w:t xml:space="preserve"> </w:t>
      </w:r>
      <w:proofErr w:type="spellStart"/>
      <w:r w:rsidRPr="005F201A">
        <w:t>recidiverende</w:t>
      </w:r>
      <w:proofErr w:type="spellEnd"/>
      <w:r w:rsidRPr="005F201A">
        <w:t xml:space="preserve"> DVT </w:t>
      </w:r>
      <w:proofErr w:type="spellStart"/>
      <w:r w:rsidRPr="005F201A">
        <w:t>og</w:t>
      </w:r>
      <w:proofErr w:type="spellEnd"/>
      <w:r w:rsidRPr="005F201A">
        <w:t xml:space="preserve"> LE </w:t>
      </w:r>
      <w:proofErr w:type="spellStart"/>
      <w:r w:rsidRPr="005F201A">
        <w:t>hos</w:t>
      </w:r>
      <w:proofErr w:type="spellEnd"/>
      <w:r w:rsidRPr="005F201A">
        <w:t xml:space="preserve"> </w:t>
      </w:r>
      <w:proofErr w:type="spellStart"/>
      <w:r w:rsidRPr="005F201A">
        <w:t>voksne</w:t>
      </w:r>
      <w:proofErr w:type="spellEnd"/>
      <w:r w:rsidRPr="005F201A">
        <w:t xml:space="preserve"> (DVT/LE)</w:t>
      </w:r>
    </w:p>
    <w:p w14:paraId="4238D49C" w14:textId="77777777" w:rsidR="00BF24CD" w:rsidRPr="00DB2CE6" w:rsidRDefault="00BF24CD" w:rsidP="00C52B21">
      <w:pPr>
        <w:rPr>
          <w:b/>
          <w:bCs/>
          <w:lang w:val="da-DK"/>
        </w:rPr>
      </w:pPr>
    </w:p>
    <w:p w14:paraId="347EE9BE" w14:textId="77777777" w:rsidR="00BF24CD" w:rsidRPr="00DB2CE6" w:rsidRDefault="00BF24CD" w:rsidP="00C52B21">
      <w:pPr>
        <w:rPr>
          <w:b/>
          <w:bCs/>
          <w:lang w:val="da-DK"/>
        </w:rPr>
      </w:pPr>
    </w:p>
    <w:p w14:paraId="0570E436" w14:textId="77777777" w:rsidR="00BF24CD" w:rsidRPr="00DB2CE6" w:rsidRDefault="00BF24CD" w:rsidP="00C52B21">
      <w:pPr>
        <w:rPr>
          <w:b/>
          <w:bCs/>
          <w:lang w:val="da-DK"/>
        </w:rPr>
      </w:pPr>
    </w:p>
    <w:p w14:paraId="2354FC40" w14:textId="77777777" w:rsidR="00BF24CD" w:rsidRPr="00DB2CE6" w:rsidRDefault="00BF24CD" w:rsidP="00C52B21">
      <w:pPr>
        <w:rPr>
          <w:b/>
          <w:bCs/>
          <w:lang w:val="da-DK"/>
        </w:rPr>
      </w:pPr>
    </w:p>
    <w:p w14:paraId="1881BEED" w14:textId="77777777" w:rsidR="00BF24CD" w:rsidRPr="00DB2CE6" w:rsidRDefault="00BF24CD" w:rsidP="00C52B21">
      <w:pPr>
        <w:rPr>
          <w:b/>
          <w:bCs/>
          <w:lang w:val="da-DK"/>
        </w:rPr>
      </w:pPr>
    </w:p>
    <w:p w14:paraId="1DB5E83A" w14:textId="77777777" w:rsidR="00BF24CD" w:rsidRPr="00DB2CE6" w:rsidRDefault="00BF24CD" w:rsidP="00C52B21">
      <w:pPr>
        <w:rPr>
          <w:b/>
          <w:bCs/>
          <w:lang w:val="da-DK"/>
        </w:rPr>
      </w:pPr>
    </w:p>
    <w:p w14:paraId="6E88B85D" w14:textId="77777777" w:rsidR="00BF24CD" w:rsidRPr="00DB2CE6" w:rsidRDefault="00BF24CD" w:rsidP="00C52B21">
      <w:pPr>
        <w:rPr>
          <w:b/>
          <w:bCs/>
          <w:lang w:val="da-DK"/>
        </w:rPr>
      </w:pPr>
    </w:p>
    <w:p w14:paraId="26A1F833" w14:textId="77777777" w:rsidR="00BF24CD" w:rsidRPr="00DB2CE6" w:rsidRDefault="00BF24CD" w:rsidP="00C52B21">
      <w:pPr>
        <w:rPr>
          <w:b/>
          <w:bCs/>
          <w:lang w:val="da-DK"/>
        </w:rPr>
      </w:pPr>
    </w:p>
    <w:p w14:paraId="1170F50C" w14:textId="77777777" w:rsidR="00BF24CD" w:rsidRPr="00DB2CE6" w:rsidRDefault="00BF24CD" w:rsidP="00C52B21">
      <w:pPr>
        <w:rPr>
          <w:b/>
          <w:bCs/>
          <w:lang w:val="da-DK"/>
        </w:rPr>
      </w:pPr>
    </w:p>
    <w:p w14:paraId="34AA442A" w14:textId="74FF1C02" w:rsidR="00BF24CD" w:rsidRPr="00DB2CE6" w:rsidRDefault="00BF24CD" w:rsidP="00C52B21">
      <w:pPr>
        <w:rPr>
          <w:sz w:val="20"/>
          <w:szCs w:val="20"/>
          <w:lang w:val="da-DK"/>
        </w:rPr>
      </w:pPr>
      <w:r w:rsidRPr="005F201A">
        <w:rPr>
          <w:sz w:val="20"/>
          <w:szCs w:val="20"/>
        </w:rPr>
        <w:t>I denne vejledning anvendes udtrykket "kapsel" i stedet for udtrykket "hård kapsel", når den farmaceutiske doseringsform nævnes for klarhedens skyld.</w:t>
      </w:r>
    </w:p>
    <w:p w14:paraId="2DEC197A" w14:textId="77777777" w:rsidR="00BA02AC" w:rsidRPr="00DB2CE6" w:rsidRDefault="00BA02AC">
      <w:pPr>
        <w:rPr>
          <w:b/>
          <w:bCs/>
          <w:lang w:val="da-DK"/>
        </w:rPr>
      </w:pPr>
      <w:r w:rsidRPr="005F201A">
        <w:rPr>
          <w:b/>
          <w:bCs/>
        </w:rPr>
        <w:br w:type="page"/>
      </w:r>
    </w:p>
    <w:p w14:paraId="1E07749E" w14:textId="68C836C3" w:rsidR="00552407" w:rsidRPr="00DB2CE6" w:rsidRDefault="00CE4A74" w:rsidP="00C52B21">
      <w:pPr>
        <w:rPr>
          <w:b/>
          <w:bCs/>
          <w:lang w:val="da-DK"/>
        </w:rPr>
      </w:pPr>
      <w:r w:rsidRPr="00CE4A74">
        <w:rPr>
          <w:b/>
          <w:bCs/>
        </w:rPr>
        <w:lastRenderedPageBreak/>
        <w:t xml:space="preserve">Denne </w:t>
      </w:r>
      <w:proofErr w:type="spellStart"/>
      <w:r w:rsidRPr="00CE4A74">
        <w:rPr>
          <w:b/>
          <w:bCs/>
        </w:rPr>
        <w:t>vejledning</w:t>
      </w:r>
      <w:proofErr w:type="spellEnd"/>
      <w:r w:rsidRPr="00CE4A74">
        <w:rPr>
          <w:b/>
          <w:bCs/>
        </w:rPr>
        <w:t xml:space="preserve"> </w:t>
      </w:r>
      <w:proofErr w:type="spellStart"/>
      <w:r w:rsidRPr="00CE4A74">
        <w:rPr>
          <w:b/>
          <w:bCs/>
        </w:rPr>
        <w:t>indeholder</w:t>
      </w:r>
      <w:proofErr w:type="spellEnd"/>
      <w:r w:rsidRPr="00CE4A74">
        <w:rPr>
          <w:b/>
          <w:bCs/>
        </w:rPr>
        <w:t xml:space="preserve"> </w:t>
      </w:r>
      <w:proofErr w:type="spellStart"/>
      <w:r w:rsidRPr="00CE4A74">
        <w:rPr>
          <w:b/>
          <w:bCs/>
        </w:rPr>
        <w:t>anbefalinger</w:t>
      </w:r>
      <w:proofErr w:type="spellEnd"/>
      <w:r w:rsidRPr="00CE4A74">
        <w:rPr>
          <w:b/>
          <w:bCs/>
        </w:rPr>
        <w:t xml:space="preserve"> </w:t>
      </w:r>
      <w:proofErr w:type="spellStart"/>
      <w:r w:rsidRPr="00CE4A74">
        <w:rPr>
          <w:b/>
          <w:bCs/>
        </w:rPr>
        <w:t>til</w:t>
      </w:r>
      <w:proofErr w:type="spellEnd"/>
      <w:r w:rsidRPr="00CE4A74">
        <w:rPr>
          <w:b/>
          <w:bCs/>
        </w:rPr>
        <w:t xml:space="preserve"> at </w:t>
      </w:r>
      <w:proofErr w:type="spellStart"/>
      <w:r w:rsidRPr="00CE4A74">
        <w:rPr>
          <w:b/>
          <w:bCs/>
        </w:rPr>
        <w:t>reducere</w:t>
      </w:r>
      <w:proofErr w:type="spellEnd"/>
      <w:r w:rsidRPr="00CE4A74">
        <w:rPr>
          <w:b/>
          <w:bCs/>
        </w:rPr>
        <w:t xml:space="preserve"> </w:t>
      </w:r>
      <w:proofErr w:type="spellStart"/>
      <w:r w:rsidRPr="00CE4A74">
        <w:rPr>
          <w:b/>
          <w:bCs/>
        </w:rPr>
        <w:t>risikoen</w:t>
      </w:r>
      <w:proofErr w:type="spellEnd"/>
      <w:r w:rsidRPr="00CE4A74">
        <w:rPr>
          <w:b/>
          <w:bCs/>
        </w:rPr>
        <w:t xml:space="preserve"> </w:t>
      </w:r>
      <w:proofErr w:type="spellStart"/>
      <w:r w:rsidRPr="00CE4A74">
        <w:rPr>
          <w:b/>
          <w:bCs/>
        </w:rPr>
        <w:t>for</w:t>
      </w:r>
      <w:proofErr w:type="spellEnd"/>
      <w:r w:rsidRPr="00CE4A74">
        <w:rPr>
          <w:b/>
          <w:bCs/>
        </w:rPr>
        <w:t xml:space="preserve"> </w:t>
      </w:r>
      <w:proofErr w:type="spellStart"/>
      <w:r w:rsidRPr="00CE4A74">
        <w:rPr>
          <w:b/>
          <w:bCs/>
        </w:rPr>
        <w:t>blødning</w:t>
      </w:r>
      <w:proofErr w:type="spellEnd"/>
      <w:r w:rsidRPr="00CE4A74">
        <w:rPr>
          <w:b/>
          <w:bCs/>
        </w:rPr>
        <w:t xml:space="preserve"> </w:t>
      </w:r>
      <w:proofErr w:type="spellStart"/>
      <w:r w:rsidRPr="00CE4A74">
        <w:rPr>
          <w:b/>
          <w:bCs/>
        </w:rPr>
        <w:t>ved</w:t>
      </w:r>
      <w:proofErr w:type="spellEnd"/>
      <w:r w:rsidRPr="00CE4A74">
        <w:rPr>
          <w:b/>
          <w:bCs/>
        </w:rPr>
        <w:t xml:space="preserve"> </w:t>
      </w:r>
      <w:proofErr w:type="spellStart"/>
      <w:r w:rsidRPr="00CE4A74">
        <w:rPr>
          <w:b/>
          <w:bCs/>
        </w:rPr>
        <w:t>anvendelsen</w:t>
      </w:r>
      <w:proofErr w:type="spellEnd"/>
      <w:r w:rsidRPr="00CE4A74">
        <w:rPr>
          <w:b/>
          <w:bCs/>
        </w:rPr>
        <w:t xml:space="preserve"> </w:t>
      </w:r>
      <w:proofErr w:type="spellStart"/>
      <w:r w:rsidRPr="00CE4A74">
        <w:rPr>
          <w:b/>
          <w:bCs/>
        </w:rPr>
        <w:t>af</w:t>
      </w:r>
      <w:proofErr w:type="spellEnd"/>
      <w:r w:rsidRPr="00CE4A74">
        <w:rPr>
          <w:b/>
          <w:bCs/>
        </w:rPr>
        <w:t xml:space="preserve"> </w:t>
      </w:r>
      <w:proofErr w:type="spellStart"/>
      <w:r w:rsidRPr="00CE4A74">
        <w:rPr>
          <w:b/>
          <w:bCs/>
        </w:rPr>
        <w:t>dabigatranetexilat</w:t>
      </w:r>
      <w:proofErr w:type="spellEnd"/>
      <w:r w:rsidRPr="00CE4A74">
        <w:rPr>
          <w:b/>
          <w:bCs/>
        </w:rPr>
        <w:t xml:space="preserve"> </w:t>
      </w:r>
    </w:p>
    <w:p w14:paraId="693C6CAC" w14:textId="77777777" w:rsidR="00AA593A" w:rsidRPr="00DB2CE6" w:rsidRDefault="00AA593A">
      <w:pPr>
        <w:rPr>
          <w:lang w:val="da-DK"/>
        </w:rPr>
      </w:pPr>
    </w:p>
    <w:p w14:paraId="2B786C68" w14:textId="77777777" w:rsidR="008B611E" w:rsidRDefault="00AA593A">
      <w:pPr>
        <w:pStyle w:val="Overskrift"/>
      </w:pPr>
      <w:r>
        <w:t>Indholdsfortegnelse</w:t>
      </w:r>
    </w:p>
    <w:sdt>
      <w:sdtPr>
        <w:rPr>
          <w:rFonts w:asciiTheme="minorHAnsi" w:eastAsiaTheme="minorHAnsi" w:hAnsiTheme="minorHAnsi" w:cstheme="minorBidi"/>
          <w:color w:val="auto"/>
          <w:sz w:val="22"/>
          <w:szCs w:val="22"/>
          <w:lang w:val="de-DE"/>
        </w:rPr>
        <w:id w:val="-1313708406"/>
        <w:docPartObj>
          <w:docPartGallery w:val="Table of Contents"/>
          <w:docPartUnique/>
        </w:docPartObj>
      </w:sdtPr>
      <w:sdtEndPr>
        <w:rPr>
          <w:b/>
          <w:bCs/>
          <w:noProof/>
        </w:rPr>
      </w:sdtEndPr>
      <w:sdtContent>
        <w:p w14:paraId="54B2F511" w14:textId="7877EAD2" w:rsidR="002A7103" w:rsidRDefault="002A7103">
          <w:pPr>
            <w:pStyle w:val="Overskrift"/>
          </w:pPr>
        </w:p>
        <w:p w14:paraId="55C5B3F9" w14:textId="4B812BA8" w:rsidR="00BF6A31" w:rsidRDefault="002A7103">
          <w:pPr>
            <w:pStyle w:val="Indholdsfortegnelse1"/>
            <w:rPr>
              <w:rFonts w:cstheme="minorBidi"/>
              <w:noProof/>
              <w:lang w:val="da-DK" w:eastAsia="da-DK"/>
            </w:rPr>
          </w:pPr>
          <w:r>
            <w:fldChar w:fldCharType="begin"/>
          </w:r>
          <w:r w:rsidRPr="006F74E8">
            <w:instrText xml:space="preserve"> TOC \o "1-3" \h \z \u </w:instrText>
          </w:r>
          <w:r>
            <w:fldChar w:fldCharType="separate"/>
          </w:r>
          <w:hyperlink w:anchor="_Toc161922284" w:history="1">
            <w:r w:rsidR="00BF6A31" w:rsidRPr="00686338">
              <w:rPr>
                <w:rStyle w:val="Hyperlink"/>
                <w:noProof/>
              </w:rPr>
              <w:t>Indikationer</w:t>
            </w:r>
            <w:r w:rsidR="00BF6A31">
              <w:rPr>
                <w:noProof/>
                <w:webHidden/>
              </w:rPr>
              <w:tab/>
            </w:r>
            <w:r w:rsidR="00BF6A31">
              <w:rPr>
                <w:noProof/>
                <w:webHidden/>
              </w:rPr>
              <w:fldChar w:fldCharType="begin"/>
            </w:r>
            <w:r w:rsidR="00BF6A31">
              <w:rPr>
                <w:noProof/>
                <w:webHidden/>
              </w:rPr>
              <w:instrText xml:space="preserve"> PAGEREF _Toc161922284 \h </w:instrText>
            </w:r>
            <w:r w:rsidR="00BF6A31">
              <w:rPr>
                <w:noProof/>
                <w:webHidden/>
              </w:rPr>
            </w:r>
            <w:r w:rsidR="00BF6A31">
              <w:rPr>
                <w:noProof/>
                <w:webHidden/>
              </w:rPr>
              <w:fldChar w:fldCharType="separate"/>
            </w:r>
            <w:r w:rsidR="00BF6A31">
              <w:rPr>
                <w:noProof/>
                <w:webHidden/>
              </w:rPr>
              <w:t>3</w:t>
            </w:r>
            <w:r w:rsidR="00BF6A31">
              <w:rPr>
                <w:noProof/>
                <w:webHidden/>
              </w:rPr>
              <w:fldChar w:fldCharType="end"/>
            </w:r>
          </w:hyperlink>
        </w:p>
        <w:p w14:paraId="1C962F33" w14:textId="1A9DAAC1" w:rsidR="00BF6A31" w:rsidRDefault="009C1710">
          <w:pPr>
            <w:pStyle w:val="Indholdsfortegnelse1"/>
            <w:rPr>
              <w:rFonts w:cstheme="minorBidi"/>
              <w:noProof/>
              <w:lang w:val="da-DK" w:eastAsia="da-DK"/>
            </w:rPr>
          </w:pPr>
          <w:hyperlink w:anchor="_Toc161922285" w:history="1">
            <w:r w:rsidR="00BF6A31" w:rsidRPr="00686338">
              <w:rPr>
                <w:rStyle w:val="Hyperlink"/>
                <w:noProof/>
              </w:rPr>
              <w:t>Kontraindikationer</w:t>
            </w:r>
            <w:r w:rsidR="00BF6A31">
              <w:rPr>
                <w:noProof/>
                <w:webHidden/>
              </w:rPr>
              <w:tab/>
            </w:r>
            <w:r w:rsidR="00BF6A31">
              <w:rPr>
                <w:noProof/>
                <w:webHidden/>
              </w:rPr>
              <w:fldChar w:fldCharType="begin"/>
            </w:r>
            <w:r w:rsidR="00BF6A31">
              <w:rPr>
                <w:noProof/>
                <w:webHidden/>
              </w:rPr>
              <w:instrText xml:space="preserve"> PAGEREF _Toc161922285 \h </w:instrText>
            </w:r>
            <w:r w:rsidR="00BF6A31">
              <w:rPr>
                <w:noProof/>
                <w:webHidden/>
              </w:rPr>
            </w:r>
            <w:r w:rsidR="00BF6A31">
              <w:rPr>
                <w:noProof/>
                <w:webHidden/>
              </w:rPr>
              <w:fldChar w:fldCharType="separate"/>
            </w:r>
            <w:r w:rsidR="00BF6A31">
              <w:rPr>
                <w:noProof/>
                <w:webHidden/>
              </w:rPr>
              <w:t>3</w:t>
            </w:r>
            <w:r w:rsidR="00BF6A31">
              <w:rPr>
                <w:noProof/>
                <w:webHidden/>
              </w:rPr>
              <w:fldChar w:fldCharType="end"/>
            </w:r>
          </w:hyperlink>
        </w:p>
        <w:p w14:paraId="489D85E7" w14:textId="3E39FC4E" w:rsidR="00BF6A31" w:rsidRDefault="009C1710">
          <w:pPr>
            <w:pStyle w:val="Indholdsfortegnelse1"/>
            <w:rPr>
              <w:rFonts w:cstheme="minorBidi"/>
              <w:noProof/>
              <w:lang w:val="da-DK" w:eastAsia="da-DK"/>
            </w:rPr>
          </w:pPr>
          <w:hyperlink w:anchor="_Toc161922286" w:history="1">
            <w:r w:rsidR="00BF6A31" w:rsidRPr="00686338">
              <w:rPr>
                <w:rStyle w:val="Hyperlink"/>
                <w:noProof/>
              </w:rPr>
              <w:t>Anbefalet daglig dosis</w:t>
            </w:r>
            <w:r w:rsidR="00BF6A31">
              <w:rPr>
                <w:noProof/>
                <w:webHidden/>
              </w:rPr>
              <w:tab/>
            </w:r>
            <w:r w:rsidR="00BF6A31">
              <w:rPr>
                <w:noProof/>
                <w:webHidden/>
              </w:rPr>
              <w:fldChar w:fldCharType="begin"/>
            </w:r>
            <w:r w:rsidR="00BF6A31">
              <w:rPr>
                <w:noProof/>
                <w:webHidden/>
              </w:rPr>
              <w:instrText xml:space="preserve"> PAGEREF _Toc161922286 \h </w:instrText>
            </w:r>
            <w:r w:rsidR="00BF6A31">
              <w:rPr>
                <w:noProof/>
                <w:webHidden/>
              </w:rPr>
            </w:r>
            <w:r w:rsidR="00BF6A31">
              <w:rPr>
                <w:noProof/>
                <w:webHidden/>
              </w:rPr>
              <w:fldChar w:fldCharType="separate"/>
            </w:r>
            <w:r w:rsidR="00BF6A31">
              <w:rPr>
                <w:noProof/>
                <w:webHidden/>
              </w:rPr>
              <w:t>4</w:t>
            </w:r>
            <w:r w:rsidR="00BF6A31">
              <w:rPr>
                <w:noProof/>
                <w:webHidden/>
              </w:rPr>
              <w:fldChar w:fldCharType="end"/>
            </w:r>
          </w:hyperlink>
        </w:p>
        <w:p w14:paraId="5E26C89B" w14:textId="1A486274" w:rsidR="00BF6A31" w:rsidRDefault="009C1710">
          <w:pPr>
            <w:pStyle w:val="Indholdsfortegnelse1"/>
            <w:rPr>
              <w:rFonts w:cstheme="minorBidi"/>
              <w:noProof/>
              <w:lang w:val="da-DK" w:eastAsia="da-DK"/>
            </w:rPr>
          </w:pPr>
          <w:hyperlink w:anchor="_Toc161922287" w:history="1">
            <w:r w:rsidR="00BF6A31" w:rsidRPr="00686338">
              <w:rPr>
                <w:rStyle w:val="Hyperlink"/>
                <w:noProof/>
              </w:rPr>
              <w:t>Særlige patientgrupper med potentielt øget risiko for blødning</w:t>
            </w:r>
            <w:r w:rsidR="00BF6A31">
              <w:rPr>
                <w:noProof/>
                <w:webHidden/>
              </w:rPr>
              <w:tab/>
            </w:r>
            <w:r w:rsidR="00BF6A31">
              <w:rPr>
                <w:noProof/>
                <w:webHidden/>
              </w:rPr>
              <w:fldChar w:fldCharType="begin"/>
            </w:r>
            <w:r w:rsidR="00BF6A31">
              <w:rPr>
                <w:noProof/>
                <w:webHidden/>
              </w:rPr>
              <w:instrText xml:space="preserve"> PAGEREF _Toc161922287 \h </w:instrText>
            </w:r>
            <w:r w:rsidR="00BF6A31">
              <w:rPr>
                <w:noProof/>
                <w:webHidden/>
              </w:rPr>
            </w:r>
            <w:r w:rsidR="00BF6A31">
              <w:rPr>
                <w:noProof/>
                <w:webHidden/>
              </w:rPr>
              <w:fldChar w:fldCharType="separate"/>
            </w:r>
            <w:r w:rsidR="00BF6A31">
              <w:rPr>
                <w:noProof/>
                <w:webHidden/>
              </w:rPr>
              <w:t>6</w:t>
            </w:r>
            <w:r w:rsidR="00BF6A31">
              <w:rPr>
                <w:noProof/>
                <w:webHidden/>
              </w:rPr>
              <w:fldChar w:fldCharType="end"/>
            </w:r>
          </w:hyperlink>
        </w:p>
        <w:p w14:paraId="10EACC69" w14:textId="263E8922" w:rsidR="00BF6A31" w:rsidRDefault="009C1710">
          <w:pPr>
            <w:pStyle w:val="Indholdsfortegnelse1"/>
            <w:rPr>
              <w:rFonts w:cstheme="minorBidi"/>
              <w:noProof/>
              <w:lang w:val="da-DK" w:eastAsia="da-DK"/>
            </w:rPr>
          </w:pPr>
          <w:hyperlink w:anchor="_Toc161922288" w:history="1">
            <w:r w:rsidR="00BF6A31" w:rsidRPr="00686338">
              <w:rPr>
                <w:rStyle w:val="Hyperlink"/>
                <w:noProof/>
              </w:rPr>
              <w:t>Perioperativ behandling af antikoagulation</w:t>
            </w:r>
            <w:r w:rsidR="00BF6A31">
              <w:rPr>
                <w:noProof/>
                <w:webHidden/>
              </w:rPr>
              <w:tab/>
            </w:r>
            <w:r w:rsidR="00BF6A31">
              <w:rPr>
                <w:noProof/>
                <w:webHidden/>
              </w:rPr>
              <w:fldChar w:fldCharType="begin"/>
            </w:r>
            <w:r w:rsidR="00BF6A31">
              <w:rPr>
                <w:noProof/>
                <w:webHidden/>
              </w:rPr>
              <w:instrText xml:space="preserve"> PAGEREF _Toc161922288 \h </w:instrText>
            </w:r>
            <w:r w:rsidR="00BF6A31">
              <w:rPr>
                <w:noProof/>
                <w:webHidden/>
              </w:rPr>
            </w:r>
            <w:r w:rsidR="00BF6A31">
              <w:rPr>
                <w:noProof/>
                <w:webHidden/>
              </w:rPr>
              <w:fldChar w:fldCharType="separate"/>
            </w:r>
            <w:r w:rsidR="00BF6A31">
              <w:rPr>
                <w:noProof/>
                <w:webHidden/>
              </w:rPr>
              <w:t>7</w:t>
            </w:r>
            <w:r w:rsidR="00BF6A31">
              <w:rPr>
                <w:noProof/>
                <w:webHidden/>
              </w:rPr>
              <w:fldChar w:fldCharType="end"/>
            </w:r>
          </w:hyperlink>
        </w:p>
        <w:p w14:paraId="1AB0936A" w14:textId="0DC6B250" w:rsidR="00BF6A31" w:rsidRDefault="009C1710">
          <w:pPr>
            <w:pStyle w:val="Indholdsfortegnelse1"/>
            <w:rPr>
              <w:rFonts w:cstheme="minorBidi"/>
              <w:noProof/>
              <w:lang w:val="da-DK" w:eastAsia="da-DK"/>
            </w:rPr>
          </w:pPr>
          <w:hyperlink w:anchor="_Toc161922289" w:history="1">
            <w:r w:rsidR="00BF6A31" w:rsidRPr="00686338">
              <w:rPr>
                <w:rStyle w:val="Hyperlink"/>
                <w:noProof/>
              </w:rPr>
              <w:t>Koagulationsprøver og fortolkningen heraf</w:t>
            </w:r>
            <w:r w:rsidR="00BF6A31">
              <w:rPr>
                <w:noProof/>
                <w:webHidden/>
              </w:rPr>
              <w:tab/>
            </w:r>
            <w:r w:rsidR="00BF6A31">
              <w:rPr>
                <w:noProof/>
                <w:webHidden/>
              </w:rPr>
              <w:fldChar w:fldCharType="begin"/>
            </w:r>
            <w:r w:rsidR="00BF6A31">
              <w:rPr>
                <w:noProof/>
                <w:webHidden/>
              </w:rPr>
              <w:instrText xml:space="preserve"> PAGEREF _Toc161922289 \h </w:instrText>
            </w:r>
            <w:r w:rsidR="00BF6A31">
              <w:rPr>
                <w:noProof/>
                <w:webHidden/>
              </w:rPr>
            </w:r>
            <w:r w:rsidR="00BF6A31">
              <w:rPr>
                <w:noProof/>
                <w:webHidden/>
              </w:rPr>
              <w:fldChar w:fldCharType="separate"/>
            </w:r>
            <w:r w:rsidR="00BF6A31">
              <w:rPr>
                <w:noProof/>
                <w:webHidden/>
              </w:rPr>
              <w:t>9</w:t>
            </w:r>
            <w:r w:rsidR="00BF6A31">
              <w:rPr>
                <w:noProof/>
                <w:webHidden/>
              </w:rPr>
              <w:fldChar w:fldCharType="end"/>
            </w:r>
          </w:hyperlink>
        </w:p>
        <w:p w14:paraId="031416FD" w14:textId="7F64E329" w:rsidR="00BF6A31" w:rsidRDefault="009C1710">
          <w:pPr>
            <w:pStyle w:val="Indholdsfortegnelse1"/>
            <w:rPr>
              <w:rFonts w:cstheme="minorBidi"/>
              <w:noProof/>
              <w:lang w:val="da-DK" w:eastAsia="da-DK"/>
            </w:rPr>
          </w:pPr>
          <w:hyperlink w:anchor="_Toc161922290" w:history="1">
            <w:r w:rsidR="00BF6A31" w:rsidRPr="00686338">
              <w:rPr>
                <w:rStyle w:val="Hyperlink"/>
                <w:noProof/>
              </w:rPr>
              <w:t>Overdosis</w:t>
            </w:r>
            <w:r w:rsidR="00BF6A31">
              <w:rPr>
                <w:noProof/>
                <w:webHidden/>
              </w:rPr>
              <w:tab/>
            </w:r>
            <w:r w:rsidR="00BF6A31">
              <w:rPr>
                <w:noProof/>
                <w:webHidden/>
              </w:rPr>
              <w:fldChar w:fldCharType="begin"/>
            </w:r>
            <w:r w:rsidR="00BF6A31">
              <w:rPr>
                <w:noProof/>
                <w:webHidden/>
              </w:rPr>
              <w:instrText xml:space="preserve"> PAGEREF _Toc161922290 \h </w:instrText>
            </w:r>
            <w:r w:rsidR="00BF6A31">
              <w:rPr>
                <w:noProof/>
                <w:webHidden/>
              </w:rPr>
            </w:r>
            <w:r w:rsidR="00BF6A31">
              <w:rPr>
                <w:noProof/>
                <w:webHidden/>
              </w:rPr>
              <w:fldChar w:fldCharType="separate"/>
            </w:r>
            <w:r w:rsidR="00BF6A31">
              <w:rPr>
                <w:noProof/>
                <w:webHidden/>
              </w:rPr>
              <w:t>10</w:t>
            </w:r>
            <w:r w:rsidR="00BF6A31">
              <w:rPr>
                <w:noProof/>
                <w:webHidden/>
              </w:rPr>
              <w:fldChar w:fldCharType="end"/>
            </w:r>
          </w:hyperlink>
        </w:p>
        <w:p w14:paraId="34C29458" w14:textId="5FFA08A7" w:rsidR="00BF6A31" w:rsidRDefault="009C1710">
          <w:pPr>
            <w:pStyle w:val="Indholdsfortegnelse1"/>
            <w:rPr>
              <w:rFonts w:cstheme="minorBidi"/>
              <w:noProof/>
              <w:lang w:val="da-DK" w:eastAsia="da-DK"/>
            </w:rPr>
          </w:pPr>
          <w:hyperlink w:anchor="_Toc161922291" w:history="1">
            <w:r w:rsidR="00BF6A31" w:rsidRPr="00686338">
              <w:rPr>
                <w:rStyle w:val="Hyperlink"/>
                <w:noProof/>
              </w:rPr>
              <w:t>Behandling af blødningskomplikationer</w:t>
            </w:r>
            <w:r w:rsidR="00BF6A31">
              <w:rPr>
                <w:noProof/>
                <w:webHidden/>
              </w:rPr>
              <w:tab/>
            </w:r>
            <w:r w:rsidR="00BF6A31">
              <w:rPr>
                <w:noProof/>
                <w:webHidden/>
              </w:rPr>
              <w:fldChar w:fldCharType="begin"/>
            </w:r>
            <w:r w:rsidR="00BF6A31">
              <w:rPr>
                <w:noProof/>
                <w:webHidden/>
              </w:rPr>
              <w:instrText xml:space="preserve"> PAGEREF _Toc161922291 \h </w:instrText>
            </w:r>
            <w:r w:rsidR="00BF6A31">
              <w:rPr>
                <w:noProof/>
                <w:webHidden/>
              </w:rPr>
            </w:r>
            <w:r w:rsidR="00BF6A31">
              <w:rPr>
                <w:noProof/>
                <w:webHidden/>
              </w:rPr>
              <w:fldChar w:fldCharType="separate"/>
            </w:r>
            <w:r w:rsidR="00BF6A31">
              <w:rPr>
                <w:noProof/>
                <w:webHidden/>
              </w:rPr>
              <w:t>10</w:t>
            </w:r>
            <w:r w:rsidR="00BF6A31">
              <w:rPr>
                <w:noProof/>
                <w:webHidden/>
              </w:rPr>
              <w:fldChar w:fldCharType="end"/>
            </w:r>
          </w:hyperlink>
        </w:p>
        <w:p w14:paraId="27C1C2CC" w14:textId="7040D453" w:rsidR="00BF6A31" w:rsidRDefault="009C1710">
          <w:pPr>
            <w:pStyle w:val="Indholdsfortegnelse1"/>
            <w:rPr>
              <w:rFonts w:cstheme="minorBidi"/>
              <w:noProof/>
              <w:lang w:val="da-DK" w:eastAsia="da-DK"/>
            </w:rPr>
          </w:pPr>
          <w:hyperlink w:anchor="_Toc161922292" w:history="1">
            <w:r w:rsidR="00BF6A31" w:rsidRPr="00686338">
              <w:rPr>
                <w:rStyle w:val="Hyperlink"/>
                <w:noProof/>
              </w:rPr>
              <w:t>Patientkort og patientrådgivning</w:t>
            </w:r>
            <w:r w:rsidR="00BF6A31">
              <w:rPr>
                <w:noProof/>
                <w:webHidden/>
              </w:rPr>
              <w:tab/>
            </w:r>
            <w:r w:rsidR="00BF6A31">
              <w:rPr>
                <w:noProof/>
                <w:webHidden/>
              </w:rPr>
              <w:fldChar w:fldCharType="begin"/>
            </w:r>
            <w:r w:rsidR="00BF6A31">
              <w:rPr>
                <w:noProof/>
                <w:webHidden/>
              </w:rPr>
              <w:instrText xml:space="preserve"> PAGEREF _Toc161922292 \h </w:instrText>
            </w:r>
            <w:r w:rsidR="00BF6A31">
              <w:rPr>
                <w:noProof/>
                <w:webHidden/>
              </w:rPr>
            </w:r>
            <w:r w:rsidR="00BF6A31">
              <w:rPr>
                <w:noProof/>
                <w:webHidden/>
              </w:rPr>
              <w:fldChar w:fldCharType="separate"/>
            </w:r>
            <w:r w:rsidR="00BF6A31">
              <w:rPr>
                <w:noProof/>
                <w:webHidden/>
              </w:rPr>
              <w:t>10</w:t>
            </w:r>
            <w:r w:rsidR="00BF6A31">
              <w:rPr>
                <w:noProof/>
                <w:webHidden/>
              </w:rPr>
              <w:fldChar w:fldCharType="end"/>
            </w:r>
          </w:hyperlink>
        </w:p>
        <w:p w14:paraId="4F5AD9E2" w14:textId="154AC724" w:rsidR="00BF6A31" w:rsidRDefault="009C1710">
          <w:pPr>
            <w:pStyle w:val="Indholdsfortegnelse1"/>
            <w:rPr>
              <w:rFonts w:cstheme="minorBidi"/>
              <w:noProof/>
              <w:lang w:val="da-DK" w:eastAsia="da-DK"/>
            </w:rPr>
          </w:pPr>
          <w:hyperlink w:anchor="_Toc161922293" w:history="1">
            <w:r w:rsidR="00BF6A31" w:rsidRPr="00686338">
              <w:rPr>
                <w:rStyle w:val="Hyperlink"/>
                <w:noProof/>
              </w:rPr>
              <w:t>Indberetning af bivirkninger</w:t>
            </w:r>
            <w:r w:rsidR="00BF6A31">
              <w:rPr>
                <w:noProof/>
                <w:webHidden/>
              </w:rPr>
              <w:tab/>
            </w:r>
            <w:r w:rsidR="00BF6A31">
              <w:rPr>
                <w:noProof/>
                <w:webHidden/>
              </w:rPr>
              <w:fldChar w:fldCharType="begin"/>
            </w:r>
            <w:r w:rsidR="00BF6A31">
              <w:rPr>
                <w:noProof/>
                <w:webHidden/>
              </w:rPr>
              <w:instrText xml:space="preserve"> PAGEREF _Toc161922293 \h </w:instrText>
            </w:r>
            <w:r w:rsidR="00BF6A31">
              <w:rPr>
                <w:noProof/>
                <w:webHidden/>
              </w:rPr>
            </w:r>
            <w:r w:rsidR="00BF6A31">
              <w:rPr>
                <w:noProof/>
                <w:webHidden/>
              </w:rPr>
              <w:fldChar w:fldCharType="separate"/>
            </w:r>
            <w:r w:rsidR="00BF6A31">
              <w:rPr>
                <w:noProof/>
                <w:webHidden/>
              </w:rPr>
              <w:t>11</w:t>
            </w:r>
            <w:r w:rsidR="00BF6A31">
              <w:rPr>
                <w:noProof/>
                <w:webHidden/>
              </w:rPr>
              <w:fldChar w:fldCharType="end"/>
            </w:r>
          </w:hyperlink>
        </w:p>
        <w:p w14:paraId="6B65A1C5" w14:textId="20EBFBF6" w:rsidR="00BF6A31" w:rsidRDefault="009C1710">
          <w:pPr>
            <w:pStyle w:val="Indholdsfortegnelse1"/>
            <w:rPr>
              <w:rFonts w:cstheme="minorBidi"/>
              <w:noProof/>
              <w:lang w:val="da-DK" w:eastAsia="da-DK"/>
            </w:rPr>
          </w:pPr>
          <w:hyperlink w:anchor="_Toc161922294" w:history="1">
            <w:r w:rsidR="00BF6A31" w:rsidRPr="00686338">
              <w:rPr>
                <w:rStyle w:val="Hyperlink"/>
                <w:noProof/>
              </w:rPr>
              <w:t>Referencer</w:t>
            </w:r>
            <w:r w:rsidR="00BF6A31">
              <w:rPr>
                <w:noProof/>
                <w:webHidden/>
              </w:rPr>
              <w:tab/>
            </w:r>
            <w:r w:rsidR="00BF6A31">
              <w:rPr>
                <w:noProof/>
                <w:webHidden/>
              </w:rPr>
              <w:fldChar w:fldCharType="begin"/>
            </w:r>
            <w:r w:rsidR="00BF6A31">
              <w:rPr>
                <w:noProof/>
                <w:webHidden/>
              </w:rPr>
              <w:instrText xml:space="preserve"> PAGEREF _Toc161922294 \h </w:instrText>
            </w:r>
            <w:r w:rsidR="00BF6A31">
              <w:rPr>
                <w:noProof/>
                <w:webHidden/>
              </w:rPr>
            </w:r>
            <w:r w:rsidR="00BF6A31">
              <w:rPr>
                <w:noProof/>
                <w:webHidden/>
              </w:rPr>
              <w:fldChar w:fldCharType="separate"/>
            </w:r>
            <w:r w:rsidR="00BF6A31">
              <w:rPr>
                <w:noProof/>
                <w:webHidden/>
              </w:rPr>
              <w:t>12</w:t>
            </w:r>
            <w:r w:rsidR="00BF6A31">
              <w:rPr>
                <w:noProof/>
                <w:webHidden/>
              </w:rPr>
              <w:fldChar w:fldCharType="end"/>
            </w:r>
          </w:hyperlink>
        </w:p>
        <w:p w14:paraId="707069A2" w14:textId="34FBE745" w:rsidR="002A7103" w:rsidRPr="008B611E" w:rsidRDefault="002A7103">
          <w:pPr>
            <w:rPr>
              <w:lang w:val="en-US"/>
            </w:rPr>
          </w:pPr>
          <w:r>
            <w:rPr>
              <w:b/>
              <w:bCs/>
              <w:noProof/>
            </w:rPr>
            <w:fldChar w:fldCharType="end"/>
          </w:r>
        </w:p>
      </w:sdtContent>
    </w:sdt>
    <w:p w14:paraId="0FD6606F" w14:textId="1E93D09E" w:rsidR="002A7103" w:rsidRDefault="002A7103">
      <w:pPr>
        <w:rPr>
          <w:lang w:val="en-US"/>
        </w:rPr>
      </w:pPr>
    </w:p>
    <w:p w14:paraId="27B70688" w14:textId="77777777" w:rsidR="002A7103" w:rsidRPr="002A7103" w:rsidRDefault="002A7103">
      <w:pPr>
        <w:rPr>
          <w:lang w:val="en-US"/>
        </w:rPr>
      </w:pPr>
    </w:p>
    <w:p w14:paraId="46B95BAA" w14:textId="77777777" w:rsidR="00C52B21" w:rsidRDefault="00C52B21" w:rsidP="00C52B21"/>
    <w:p w14:paraId="200C2AD0" w14:textId="77777777" w:rsidR="00EB25B4" w:rsidRDefault="00EB25B4" w:rsidP="00C52B21">
      <w:pPr>
        <w:rPr>
          <w:b/>
          <w:bCs/>
        </w:rPr>
      </w:pPr>
    </w:p>
    <w:p w14:paraId="787C33AB" w14:textId="77777777" w:rsidR="00EB25B4" w:rsidRDefault="00EB25B4" w:rsidP="00C52B21">
      <w:pPr>
        <w:rPr>
          <w:b/>
          <w:bCs/>
        </w:rPr>
      </w:pPr>
    </w:p>
    <w:p w14:paraId="56C13774" w14:textId="77777777" w:rsidR="00EB25B4" w:rsidRDefault="00EB25B4" w:rsidP="00C52B21">
      <w:pPr>
        <w:rPr>
          <w:b/>
          <w:bCs/>
        </w:rPr>
      </w:pPr>
    </w:p>
    <w:p w14:paraId="408F904E" w14:textId="77777777" w:rsidR="00EB25B4" w:rsidRDefault="00EB25B4" w:rsidP="00C52B21">
      <w:pPr>
        <w:rPr>
          <w:b/>
          <w:bCs/>
        </w:rPr>
      </w:pPr>
    </w:p>
    <w:p w14:paraId="23B21189" w14:textId="77777777" w:rsidR="00EB25B4" w:rsidRDefault="00EB25B4" w:rsidP="00C52B21">
      <w:pPr>
        <w:rPr>
          <w:b/>
          <w:bCs/>
        </w:rPr>
      </w:pPr>
    </w:p>
    <w:p w14:paraId="3EF60408" w14:textId="38E7375F" w:rsidR="00C52B21" w:rsidRPr="00DB2CE6" w:rsidRDefault="00C52B21" w:rsidP="00C52B21">
      <w:pPr>
        <w:rPr>
          <w:b/>
          <w:bCs/>
          <w:lang w:val="da-DK"/>
        </w:rPr>
      </w:pPr>
      <w:proofErr w:type="spellStart"/>
      <w:r w:rsidRPr="00E645B1">
        <w:rPr>
          <w:b/>
          <w:bCs/>
        </w:rPr>
        <w:t>Følg</w:t>
      </w:r>
      <w:proofErr w:type="spellEnd"/>
      <w:r w:rsidRPr="00E645B1">
        <w:rPr>
          <w:b/>
          <w:bCs/>
        </w:rPr>
        <w:t xml:space="preserve"> </w:t>
      </w:r>
      <w:proofErr w:type="spellStart"/>
      <w:r w:rsidRPr="00E645B1">
        <w:rPr>
          <w:b/>
          <w:bCs/>
        </w:rPr>
        <w:t>disse</w:t>
      </w:r>
      <w:proofErr w:type="spellEnd"/>
      <w:r w:rsidRPr="00E645B1">
        <w:rPr>
          <w:b/>
          <w:bCs/>
        </w:rPr>
        <w:t xml:space="preserve"> </w:t>
      </w:r>
      <w:proofErr w:type="spellStart"/>
      <w:r w:rsidRPr="00E645B1">
        <w:rPr>
          <w:b/>
          <w:bCs/>
        </w:rPr>
        <w:t>sikkerhedsinstruktioner</w:t>
      </w:r>
      <w:proofErr w:type="spellEnd"/>
      <w:r w:rsidRPr="00E645B1">
        <w:rPr>
          <w:b/>
          <w:bCs/>
        </w:rPr>
        <w:t xml:space="preserve"> </w:t>
      </w:r>
      <w:proofErr w:type="spellStart"/>
      <w:r w:rsidRPr="00E645B1">
        <w:rPr>
          <w:b/>
          <w:bCs/>
        </w:rPr>
        <w:t>ud</w:t>
      </w:r>
      <w:proofErr w:type="spellEnd"/>
      <w:r w:rsidRPr="00E645B1">
        <w:rPr>
          <w:b/>
          <w:bCs/>
        </w:rPr>
        <w:t xml:space="preserve"> </w:t>
      </w:r>
      <w:proofErr w:type="spellStart"/>
      <w:r w:rsidRPr="00E645B1">
        <w:rPr>
          <w:b/>
          <w:bCs/>
        </w:rPr>
        <w:t>over</w:t>
      </w:r>
      <w:proofErr w:type="spellEnd"/>
      <w:r w:rsidRPr="00E645B1">
        <w:rPr>
          <w:b/>
          <w:bCs/>
        </w:rPr>
        <w:t xml:space="preserve"> </w:t>
      </w:r>
      <w:proofErr w:type="spellStart"/>
      <w:r w:rsidR="00662987" w:rsidRPr="00662987">
        <w:rPr>
          <w:b/>
          <w:bCs/>
        </w:rPr>
        <w:t>produktresumé</w:t>
      </w:r>
      <w:proofErr w:type="spellEnd"/>
      <w:r w:rsidR="00662987" w:rsidRPr="00662987">
        <w:rPr>
          <w:b/>
          <w:bCs/>
        </w:rPr>
        <w:t xml:space="preserve"> </w:t>
      </w:r>
      <w:r w:rsidRPr="0052045A">
        <w:rPr>
          <w:b/>
          <w:bCs/>
          <w:vertAlign w:val="superscript"/>
        </w:rPr>
        <w:t>1</w:t>
      </w:r>
      <w:r w:rsidRPr="00E645B1">
        <w:rPr>
          <w:b/>
          <w:bCs/>
        </w:rPr>
        <w:t>.</w:t>
      </w:r>
    </w:p>
    <w:p w14:paraId="139FC6FB" w14:textId="77777777" w:rsidR="00BA02AC" w:rsidRPr="00DB2CE6" w:rsidRDefault="00BA02AC">
      <w:pPr>
        <w:rPr>
          <w:rStyle w:val="Overskrift1Tegn"/>
          <w:lang w:val="da-DK"/>
        </w:rPr>
      </w:pPr>
      <w:r w:rsidRPr="00E645B1">
        <w:rPr>
          <w:rStyle w:val="Overskrift1Tegn"/>
        </w:rPr>
        <w:br w:type="page"/>
      </w:r>
    </w:p>
    <w:p w14:paraId="24E9D65F" w14:textId="559A1837" w:rsidR="00C52B21" w:rsidRPr="00DB2CE6" w:rsidRDefault="00C52B21" w:rsidP="00C52B21">
      <w:pPr>
        <w:rPr>
          <w:b/>
          <w:bCs/>
          <w:sz w:val="28"/>
          <w:szCs w:val="28"/>
          <w:lang w:val="da-DK"/>
        </w:rPr>
      </w:pPr>
      <w:bookmarkStart w:id="0" w:name="_Toc161922284"/>
      <w:r w:rsidRPr="00E645B1">
        <w:rPr>
          <w:rStyle w:val="Overskrift1Tegn"/>
        </w:rPr>
        <w:lastRenderedPageBreak/>
        <w:t>Indikationer</w:t>
      </w:r>
      <w:bookmarkEnd w:id="0"/>
      <w:r w:rsidRPr="00E645B1">
        <w:rPr>
          <w:b/>
          <w:bCs/>
          <w:sz w:val="28"/>
          <w:szCs w:val="28"/>
          <w:vertAlign w:val="superscript"/>
        </w:rPr>
        <w:t>1</w:t>
      </w:r>
    </w:p>
    <w:p w14:paraId="3D8AE362" w14:textId="206C2AE3" w:rsidR="00C52B21" w:rsidRPr="00DB2CE6" w:rsidRDefault="00C52B21" w:rsidP="00C52B21">
      <w:pPr>
        <w:rPr>
          <w:lang w:val="da-DK"/>
        </w:rPr>
      </w:pPr>
      <w:r w:rsidRPr="00E645B1">
        <w:t>• Forebyggelse af slagtilfælde og systemisk emboli hos voksne patienter med ikke-valvulær atrieflimren med en eller flere risikofaktorer, såsom: tidligere slagtilfælde, forbigående iskæmisk angreb (TIA), alder ≥ 75 år, hjertesvigt (New York Heart Association (NYHA) klasse ≥ 2), diabetes mellitus, arteriel hypertension</w:t>
      </w:r>
    </w:p>
    <w:p w14:paraId="618C1084" w14:textId="01629B13" w:rsidR="00C52B21" w:rsidRPr="00DB2CE6" w:rsidRDefault="00C52B21" w:rsidP="00C52B21">
      <w:pPr>
        <w:rPr>
          <w:lang w:val="da-DK"/>
        </w:rPr>
      </w:pPr>
      <w:r w:rsidRPr="00E645B1">
        <w:t xml:space="preserve">• </w:t>
      </w:r>
      <w:proofErr w:type="spellStart"/>
      <w:r w:rsidRPr="00E645B1">
        <w:t>Behandling</w:t>
      </w:r>
      <w:proofErr w:type="spellEnd"/>
      <w:r w:rsidRPr="00E645B1">
        <w:t xml:space="preserve"> </w:t>
      </w:r>
      <w:proofErr w:type="spellStart"/>
      <w:r w:rsidRPr="00E645B1">
        <w:t>af</w:t>
      </w:r>
      <w:proofErr w:type="spellEnd"/>
      <w:r w:rsidRPr="00E645B1">
        <w:t xml:space="preserve"> </w:t>
      </w:r>
      <w:proofErr w:type="spellStart"/>
      <w:r w:rsidRPr="00E645B1">
        <w:t>dyb</w:t>
      </w:r>
      <w:proofErr w:type="spellEnd"/>
      <w:r w:rsidRPr="00E645B1">
        <w:t xml:space="preserve"> </w:t>
      </w:r>
      <w:proofErr w:type="spellStart"/>
      <w:r w:rsidRPr="00E645B1">
        <w:t>venetrombose</w:t>
      </w:r>
      <w:proofErr w:type="spellEnd"/>
      <w:r w:rsidRPr="00E645B1">
        <w:t xml:space="preserve"> (DVT) </w:t>
      </w:r>
      <w:proofErr w:type="spellStart"/>
      <w:r w:rsidRPr="00E645B1">
        <w:t>og</w:t>
      </w:r>
      <w:proofErr w:type="spellEnd"/>
      <w:r w:rsidRPr="00E645B1">
        <w:t xml:space="preserve"> </w:t>
      </w:r>
      <w:proofErr w:type="spellStart"/>
      <w:r w:rsidRPr="00E645B1">
        <w:t>lungeemboli</w:t>
      </w:r>
      <w:proofErr w:type="spellEnd"/>
      <w:r w:rsidRPr="00E645B1">
        <w:t xml:space="preserve"> (</w:t>
      </w:r>
      <w:r w:rsidR="00652503">
        <w:t>L</w:t>
      </w:r>
      <w:r w:rsidRPr="00E645B1">
        <w:t xml:space="preserve">E) </w:t>
      </w:r>
      <w:proofErr w:type="spellStart"/>
      <w:r w:rsidRPr="00E645B1">
        <w:t>og</w:t>
      </w:r>
      <w:proofErr w:type="spellEnd"/>
      <w:r w:rsidRPr="00E645B1">
        <w:t xml:space="preserve"> </w:t>
      </w:r>
      <w:proofErr w:type="spellStart"/>
      <w:r w:rsidRPr="00E645B1">
        <w:t>forebyggelse</w:t>
      </w:r>
      <w:proofErr w:type="spellEnd"/>
      <w:r w:rsidRPr="00E645B1">
        <w:t xml:space="preserve"> </w:t>
      </w:r>
      <w:proofErr w:type="spellStart"/>
      <w:r w:rsidRPr="00E645B1">
        <w:t>af</w:t>
      </w:r>
      <w:proofErr w:type="spellEnd"/>
      <w:r w:rsidRPr="00E645B1">
        <w:t xml:space="preserve"> </w:t>
      </w:r>
      <w:proofErr w:type="spellStart"/>
      <w:r w:rsidRPr="00E645B1">
        <w:t>recidiverende</w:t>
      </w:r>
      <w:proofErr w:type="spellEnd"/>
      <w:r w:rsidRPr="00E645B1">
        <w:t xml:space="preserve"> DVT </w:t>
      </w:r>
      <w:proofErr w:type="spellStart"/>
      <w:r w:rsidRPr="00E645B1">
        <w:t>og</w:t>
      </w:r>
      <w:proofErr w:type="spellEnd"/>
      <w:r w:rsidRPr="00E645B1">
        <w:t xml:space="preserve"> LE </w:t>
      </w:r>
      <w:proofErr w:type="spellStart"/>
      <w:r w:rsidRPr="00E645B1">
        <w:t>hos</w:t>
      </w:r>
      <w:proofErr w:type="spellEnd"/>
      <w:r w:rsidRPr="00E645B1">
        <w:t xml:space="preserve"> </w:t>
      </w:r>
      <w:proofErr w:type="spellStart"/>
      <w:r w:rsidRPr="00E645B1">
        <w:t>voksne</w:t>
      </w:r>
      <w:proofErr w:type="spellEnd"/>
      <w:r w:rsidRPr="00E645B1">
        <w:t xml:space="preserve"> </w:t>
      </w:r>
    </w:p>
    <w:p w14:paraId="3365C009" w14:textId="6184DD61" w:rsidR="00C52B21" w:rsidRPr="00DB2CE6" w:rsidRDefault="00C52B21" w:rsidP="00C52B21">
      <w:pPr>
        <w:rPr>
          <w:lang w:val="da-DK"/>
        </w:rPr>
      </w:pPr>
    </w:p>
    <w:p w14:paraId="6CAAAFAE" w14:textId="4A9FB0BA" w:rsidR="00C52B21" w:rsidRPr="00DB2CE6" w:rsidRDefault="00C52B21" w:rsidP="00C52B21">
      <w:pPr>
        <w:rPr>
          <w:b/>
          <w:bCs/>
          <w:sz w:val="28"/>
          <w:szCs w:val="28"/>
          <w:lang w:val="da-DK"/>
        </w:rPr>
      </w:pPr>
      <w:bookmarkStart w:id="1" w:name="_Hlk137054468"/>
      <w:bookmarkStart w:id="2" w:name="_Toc161922285"/>
      <w:r w:rsidRPr="00E645B1">
        <w:rPr>
          <w:rStyle w:val="Overskrift1Tegn"/>
        </w:rPr>
        <w:t>Kontraindikationer</w:t>
      </w:r>
      <w:bookmarkEnd w:id="1"/>
      <w:bookmarkEnd w:id="2"/>
      <w:r w:rsidRPr="00E645B1">
        <w:rPr>
          <w:b/>
          <w:bCs/>
          <w:sz w:val="28"/>
          <w:szCs w:val="28"/>
          <w:vertAlign w:val="superscript"/>
        </w:rPr>
        <w:t>1</w:t>
      </w:r>
    </w:p>
    <w:p w14:paraId="6B22A5BD" w14:textId="665F22D0" w:rsidR="00C52B21" w:rsidRPr="00DB2CE6" w:rsidRDefault="007B60F3" w:rsidP="00C52B21">
      <w:pPr>
        <w:rPr>
          <w:lang w:val="da-DK"/>
        </w:rPr>
      </w:pPr>
      <w:r w:rsidRPr="00E645B1">
        <w:t xml:space="preserve">• </w:t>
      </w:r>
      <w:proofErr w:type="spellStart"/>
      <w:r w:rsidRPr="00E645B1">
        <w:t>Overfølsomhed</w:t>
      </w:r>
      <w:proofErr w:type="spellEnd"/>
      <w:r w:rsidRPr="00E645B1">
        <w:t xml:space="preserve"> </w:t>
      </w:r>
      <w:proofErr w:type="spellStart"/>
      <w:r w:rsidRPr="00E645B1">
        <w:t>over</w:t>
      </w:r>
      <w:proofErr w:type="spellEnd"/>
      <w:r w:rsidRPr="00E645B1">
        <w:t xml:space="preserve"> </w:t>
      </w:r>
      <w:proofErr w:type="spellStart"/>
      <w:r w:rsidRPr="00E645B1">
        <w:t>for</w:t>
      </w:r>
      <w:proofErr w:type="spellEnd"/>
      <w:r w:rsidRPr="00E645B1">
        <w:t xml:space="preserve"> </w:t>
      </w:r>
      <w:proofErr w:type="spellStart"/>
      <w:r w:rsidRPr="00E645B1">
        <w:t>de</w:t>
      </w:r>
      <w:r w:rsidR="00A87C1D">
        <w:t>t</w:t>
      </w:r>
      <w:proofErr w:type="spellEnd"/>
      <w:r w:rsidRPr="00E645B1">
        <w:t xml:space="preserve"> aktive </w:t>
      </w:r>
      <w:proofErr w:type="spellStart"/>
      <w:r w:rsidR="00A87C1D">
        <w:t>stof</w:t>
      </w:r>
      <w:proofErr w:type="spellEnd"/>
      <w:r w:rsidR="00A87C1D" w:rsidRPr="00E645B1">
        <w:t xml:space="preserve"> </w:t>
      </w:r>
      <w:proofErr w:type="spellStart"/>
      <w:r w:rsidRPr="00E645B1">
        <w:t>eller</w:t>
      </w:r>
      <w:proofErr w:type="spellEnd"/>
      <w:r w:rsidRPr="00E645B1">
        <w:t xml:space="preserve"> andre </w:t>
      </w:r>
      <w:proofErr w:type="spellStart"/>
      <w:r w:rsidRPr="00E645B1">
        <w:t>indholdsstoffer</w:t>
      </w:r>
      <w:proofErr w:type="spellEnd"/>
    </w:p>
    <w:p w14:paraId="2B3D237F" w14:textId="573FCD21" w:rsidR="00C52B21" w:rsidRPr="00DB2CE6" w:rsidRDefault="007B60F3" w:rsidP="00C52B21">
      <w:pPr>
        <w:rPr>
          <w:lang w:val="da-DK"/>
        </w:rPr>
      </w:pPr>
      <w:r w:rsidRPr="00E645B1">
        <w:t>• Svært nedsat nyrefunktion (CrCI &lt; 30 ml/min)</w:t>
      </w:r>
    </w:p>
    <w:p w14:paraId="63877EE6" w14:textId="58652745" w:rsidR="00C52B21" w:rsidRPr="00DB2CE6" w:rsidRDefault="007B60F3" w:rsidP="00C52B21">
      <w:pPr>
        <w:rPr>
          <w:lang w:val="da-DK"/>
        </w:rPr>
      </w:pPr>
      <w:r w:rsidRPr="00E645B1">
        <w:t>• Akut, klinisk relevant blødning</w:t>
      </w:r>
    </w:p>
    <w:p w14:paraId="601C2D7F" w14:textId="12939DB7" w:rsidR="00C52B21" w:rsidRPr="00DB2CE6" w:rsidRDefault="007B60F3" w:rsidP="00C52B21">
      <w:pPr>
        <w:rPr>
          <w:lang w:val="da-DK"/>
        </w:rPr>
      </w:pPr>
      <w:r w:rsidRPr="00E645B1">
        <w:t>• Læsioner eller kliniske situationer, der betragtes som en væsentlig risikofaktor for større blødninger. Det kan f.eks. være:</w:t>
      </w:r>
    </w:p>
    <w:p w14:paraId="340A4937" w14:textId="77777777" w:rsidR="00C52B21" w:rsidRPr="00DB2CE6" w:rsidRDefault="00C52B21" w:rsidP="00C52B21">
      <w:pPr>
        <w:rPr>
          <w:lang w:val="da-DK"/>
        </w:rPr>
      </w:pPr>
      <w:r w:rsidRPr="00E645B1">
        <w:t>− akut eller nylig gastrointestinal ulceration</w:t>
      </w:r>
    </w:p>
    <w:p w14:paraId="09A781ED" w14:textId="77777777" w:rsidR="00C52B21" w:rsidRPr="00DB2CE6" w:rsidRDefault="00C52B21" w:rsidP="00C52B21">
      <w:pPr>
        <w:rPr>
          <w:lang w:val="da-DK"/>
        </w:rPr>
      </w:pPr>
      <w:r w:rsidRPr="00E645B1">
        <w:t>− ondartede neoplasmer med høj risiko for blødning</w:t>
      </w:r>
    </w:p>
    <w:p w14:paraId="7A300463" w14:textId="174F9A64" w:rsidR="00C52B21" w:rsidRPr="00DB2CE6" w:rsidRDefault="00C52B21" w:rsidP="00C52B21">
      <w:pPr>
        <w:rPr>
          <w:lang w:val="da-DK"/>
        </w:rPr>
      </w:pPr>
      <w:r w:rsidRPr="00E645B1">
        <w:t>− nylig hjerne- eller rygmarvsskade</w:t>
      </w:r>
    </w:p>
    <w:p w14:paraId="1F253903" w14:textId="77777777" w:rsidR="00C52B21" w:rsidRPr="00DB2CE6" w:rsidRDefault="00C52B21" w:rsidP="00C52B21">
      <w:pPr>
        <w:rPr>
          <w:lang w:val="da-DK"/>
        </w:rPr>
      </w:pPr>
      <w:r w:rsidRPr="00E645B1">
        <w:t>− nylig operation i hjernen, rygmarven eller øjnene</w:t>
      </w:r>
    </w:p>
    <w:p w14:paraId="7208E30E" w14:textId="77777777" w:rsidR="00C52B21" w:rsidRPr="00DB2CE6" w:rsidRDefault="00C52B21" w:rsidP="00C52B21">
      <w:pPr>
        <w:rPr>
          <w:lang w:val="da-DK"/>
        </w:rPr>
      </w:pPr>
      <w:r w:rsidRPr="00E645B1">
        <w:t>− nylig intrakraniel blødning</w:t>
      </w:r>
    </w:p>
    <w:p w14:paraId="59FB8E6A" w14:textId="77777777" w:rsidR="00C52B21" w:rsidRPr="00DB2CE6" w:rsidRDefault="00C52B21" w:rsidP="00C52B21">
      <w:pPr>
        <w:rPr>
          <w:lang w:val="da-DK"/>
        </w:rPr>
      </w:pPr>
      <w:r w:rsidRPr="00E645B1">
        <w:t>− kendte eller mistænkte varicer i spiserøret</w:t>
      </w:r>
    </w:p>
    <w:p w14:paraId="22935BF1" w14:textId="77777777" w:rsidR="00C52B21" w:rsidRPr="00DB2CE6" w:rsidRDefault="00C52B21" w:rsidP="00C52B21">
      <w:pPr>
        <w:rPr>
          <w:lang w:val="da-DK"/>
        </w:rPr>
      </w:pPr>
      <w:r w:rsidRPr="00E645B1">
        <w:t>− arteriovenøse misdannelser</w:t>
      </w:r>
    </w:p>
    <w:p w14:paraId="0A3AE174" w14:textId="77777777" w:rsidR="00C52B21" w:rsidRPr="00DB2CE6" w:rsidRDefault="00C52B21" w:rsidP="00C52B21">
      <w:pPr>
        <w:rPr>
          <w:lang w:val="da-DK"/>
        </w:rPr>
      </w:pPr>
      <w:r w:rsidRPr="00E645B1">
        <w:t>− vaskulære aneurismer eller større intraspinale eller intracerebrale vaskulære abnormiteter</w:t>
      </w:r>
    </w:p>
    <w:p w14:paraId="40C80797" w14:textId="546BD99D" w:rsidR="00C52B21" w:rsidRPr="00DB2CE6" w:rsidRDefault="007B60F3" w:rsidP="00C52B21">
      <w:pPr>
        <w:rPr>
          <w:lang w:val="da-DK"/>
        </w:rPr>
      </w:pPr>
      <w:r w:rsidRPr="00E645B1">
        <w:t>• Samtidig behandling med andre antikoagulantia, f.eks.</w:t>
      </w:r>
    </w:p>
    <w:p w14:paraId="54D8016C" w14:textId="77777777" w:rsidR="00C52B21" w:rsidRPr="00DB2CE6" w:rsidRDefault="00C52B21" w:rsidP="00C52B21">
      <w:pPr>
        <w:rPr>
          <w:lang w:val="da-DK"/>
        </w:rPr>
      </w:pPr>
      <w:r w:rsidRPr="00E645B1">
        <w:t>− ufraktionerede hepariner</w:t>
      </w:r>
    </w:p>
    <w:p w14:paraId="7DBB76B4" w14:textId="77777777" w:rsidR="00C52B21" w:rsidRPr="00DB2CE6" w:rsidRDefault="00C52B21" w:rsidP="00C52B21">
      <w:pPr>
        <w:rPr>
          <w:lang w:val="da-DK"/>
        </w:rPr>
      </w:pPr>
      <w:r w:rsidRPr="00E645B1">
        <w:t>− hepariner med lav molekylvægt (enoxaparin, dalteparin osv.)</w:t>
      </w:r>
    </w:p>
    <w:p w14:paraId="1BC5DBDE" w14:textId="77777777" w:rsidR="00C52B21" w:rsidRPr="00DB2CE6" w:rsidRDefault="00C52B21" w:rsidP="00C52B21">
      <w:pPr>
        <w:rPr>
          <w:lang w:val="da-DK"/>
        </w:rPr>
      </w:pPr>
      <w:r w:rsidRPr="00E645B1">
        <w:t>− Heparinderivater (fondaparinux, etc.)</w:t>
      </w:r>
    </w:p>
    <w:p w14:paraId="10908C86" w14:textId="21B61E22" w:rsidR="00C52B21" w:rsidRPr="00DB2CE6" w:rsidRDefault="00C52B21" w:rsidP="00C52B21">
      <w:pPr>
        <w:rPr>
          <w:lang w:val="da-DK"/>
        </w:rPr>
      </w:pPr>
      <w:r w:rsidRPr="00E645B1">
        <w:t xml:space="preserve">− orale antikoagulantia (warfarin, rivaroxaban, apixaban osv.), undtagen under særlige omstændigheder. </w:t>
      </w:r>
      <w:proofErr w:type="spellStart"/>
      <w:r w:rsidRPr="00E645B1">
        <w:t>Disse</w:t>
      </w:r>
      <w:proofErr w:type="spellEnd"/>
      <w:r w:rsidRPr="00E645B1">
        <w:t xml:space="preserve"> </w:t>
      </w:r>
      <w:proofErr w:type="spellStart"/>
      <w:r w:rsidRPr="00E645B1">
        <w:t>omfatter</w:t>
      </w:r>
      <w:proofErr w:type="spellEnd"/>
      <w:r w:rsidRPr="00E645B1">
        <w:t xml:space="preserve"> </w:t>
      </w:r>
      <w:proofErr w:type="spellStart"/>
      <w:r w:rsidRPr="00E645B1">
        <w:t>ændring</w:t>
      </w:r>
      <w:proofErr w:type="spellEnd"/>
      <w:r w:rsidRPr="00E645B1">
        <w:t xml:space="preserve"> </w:t>
      </w:r>
      <w:proofErr w:type="spellStart"/>
      <w:r w:rsidRPr="00E645B1">
        <w:t>af</w:t>
      </w:r>
      <w:proofErr w:type="spellEnd"/>
      <w:r w:rsidRPr="00E645B1">
        <w:t xml:space="preserve"> </w:t>
      </w:r>
      <w:proofErr w:type="spellStart"/>
      <w:r w:rsidRPr="00E645B1">
        <w:t>antikoagulationsbehandling</w:t>
      </w:r>
      <w:proofErr w:type="spellEnd"/>
      <w:r w:rsidRPr="00E645B1">
        <w:t xml:space="preserve">, </w:t>
      </w:r>
      <w:proofErr w:type="spellStart"/>
      <w:r w:rsidRPr="00E645B1">
        <w:t>når</w:t>
      </w:r>
      <w:proofErr w:type="spellEnd"/>
      <w:r w:rsidRPr="00E645B1">
        <w:t xml:space="preserve"> </w:t>
      </w:r>
      <w:proofErr w:type="spellStart"/>
      <w:r w:rsidRPr="00E645B1">
        <w:t>ufraktioneret</w:t>
      </w:r>
      <w:proofErr w:type="spellEnd"/>
      <w:r w:rsidRPr="00E645B1">
        <w:t xml:space="preserve"> </w:t>
      </w:r>
      <w:proofErr w:type="spellStart"/>
      <w:r w:rsidRPr="00E645B1">
        <w:t>heparin</w:t>
      </w:r>
      <w:proofErr w:type="spellEnd"/>
      <w:r w:rsidRPr="00E645B1">
        <w:t xml:space="preserve"> </w:t>
      </w:r>
      <w:proofErr w:type="spellStart"/>
      <w:r w:rsidRPr="00E645B1">
        <w:t>gives</w:t>
      </w:r>
      <w:proofErr w:type="spellEnd"/>
      <w:r w:rsidRPr="00E645B1">
        <w:t xml:space="preserve"> i </w:t>
      </w:r>
      <w:proofErr w:type="spellStart"/>
      <w:r w:rsidRPr="00E645B1">
        <w:t>doser</w:t>
      </w:r>
      <w:proofErr w:type="spellEnd"/>
      <w:r w:rsidRPr="00E645B1">
        <w:t xml:space="preserve">, der er </w:t>
      </w:r>
      <w:proofErr w:type="spellStart"/>
      <w:r w:rsidRPr="00E645B1">
        <w:t>nødvendige</w:t>
      </w:r>
      <w:proofErr w:type="spellEnd"/>
      <w:r w:rsidRPr="00E645B1">
        <w:t xml:space="preserve"> </w:t>
      </w:r>
      <w:proofErr w:type="spellStart"/>
      <w:r w:rsidRPr="00E645B1">
        <w:t>for</w:t>
      </w:r>
      <w:proofErr w:type="spellEnd"/>
      <w:r w:rsidRPr="00E645B1">
        <w:t xml:space="preserve"> at </w:t>
      </w:r>
      <w:proofErr w:type="spellStart"/>
      <w:r w:rsidRPr="00E645B1">
        <w:t>opretholde</w:t>
      </w:r>
      <w:proofErr w:type="spellEnd"/>
      <w:r w:rsidRPr="00E645B1">
        <w:t xml:space="preserve"> </w:t>
      </w:r>
      <w:proofErr w:type="spellStart"/>
      <w:proofErr w:type="gramStart"/>
      <w:r w:rsidR="00856CC7" w:rsidRPr="00856CC7">
        <w:t>patency</w:t>
      </w:r>
      <w:proofErr w:type="spellEnd"/>
      <w:r w:rsidR="00856CC7" w:rsidRPr="00856CC7">
        <w:t xml:space="preserve"> </w:t>
      </w:r>
      <w:r w:rsidR="00856CC7">
        <w:t xml:space="preserve"> </w:t>
      </w:r>
      <w:proofErr w:type="spellStart"/>
      <w:r w:rsidR="00856CC7">
        <w:t>af</w:t>
      </w:r>
      <w:proofErr w:type="spellEnd"/>
      <w:proofErr w:type="gramEnd"/>
      <w:r w:rsidR="004309BF">
        <w:t xml:space="preserve"> </w:t>
      </w:r>
      <w:r w:rsidRPr="00E645B1">
        <w:t xml:space="preserve">et </w:t>
      </w:r>
      <w:proofErr w:type="spellStart"/>
      <w:r w:rsidRPr="00E645B1">
        <w:t>centralt</w:t>
      </w:r>
      <w:proofErr w:type="spellEnd"/>
      <w:r w:rsidRPr="00E645B1">
        <w:t xml:space="preserve"> </w:t>
      </w:r>
      <w:proofErr w:type="spellStart"/>
      <w:r w:rsidRPr="00E645B1">
        <w:t>vene</w:t>
      </w:r>
      <w:proofErr w:type="spellEnd"/>
      <w:r w:rsidRPr="00E645B1">
        <w:t xml:space="preserve">- </w:t>
      </w:r>
      <w:proofErr w:type="spellStart"/>
      <w:r w:rsidRPr="00E645B1">
        <w:t>eller</w:t>
      </w:r>
      <w:proofErr w:type="spellEnd"/>
      <w:r w:rsidRPr="00E645B1">
        <w:t xml:space="preserve"> </w:t>
      </w:r>
      <w:proofErr w:type="spellStart"/>
      <w:r w:rsidRPr="00E645B1">
        <w:t>arteriekateter</w:t>
      </w:r>
      <w:proofErr w:type="spellEnd"/>
      <w:r w:rsidRPr="00E645B1">
        <w:t xml:space="preserve">, </w:t>
      </w:r>
      <w:proofErr w:type="spellStart"/>
      <w:r w:rsidRPr="00E645B1">
        <w:t>eller</w:t>
      </w:r>
      <w:proofErr w:type="spellEnd"/>
      <w:r w:rsidRPr="00E645B1">
        <w:t xml:space="preserve"> </w:t>
      </w:r>
      <w:proofErr w:type="spellStart"/>
      <w:r w:rsidRPr="00E645B1">
        <w:t>når</w:t>
      </w:r>
      <w:proofErr w:type="spellEnd"/>
      <w:r w:rsidRPr="00E645B1">
        <w:t xml:space="preserve"> </w:t>
      </w:r>
      <w:proofErr w:type="spellStart"/>
      <w:r w:rsidRPr="00E645B1">
        <w:t>ufraktioneret</w:t>
      </w:r>
      <w:proofErr w:type="spellEnd"/>
      <w:r w:rsidRPr="00E645B1">
        <w:t xml:space="preserve"> </w:t>
      </w:r>
      <w:proofErr w:type="spellStart"/>
      <w:r w:rsidRPr="00E645B1">
        <w:t>heparin</w:t>
      </w:r>
      <w:proofErr w:type="spellEnd"/>
      <w:r w:rsidRPr="00E645B1">
        <w:t xml:space="preserve"> </w:t>
      </w:r>
      <w:proofErr w:type="spellStart"/>
      <w:r w:rsidRPr="00E645B1">
        <w:t>gives</w:t>
      </w:r>
      <w:proofErr w:type="spellEnd"/>
      <w:r w:rsidRPr="00E645B1">
        <w:t xml:space="preserve"> </w:t>
      </w:r>
      <w:proofErr w:type="spellStart"/>
      <w:r w:rsidRPr="00E645B1">
        <w:t>under</w:t>
      </w:r>
      <w:proofErr w:type="spellEnd"/>
      <w:r w:rsidRPr="00E645B1">
        <w:t xml:space="preserve"> </w:t>
      </w:r>
      <w:proofErr w:type="spellStart"/>
      <w:r w:rsidRPr="00E645B1">
        <w:t>kateterablation</w:t>
      </w:r>
      <w:proofErr w:type="spellEnd"/>
      <w:r w:rsidRPr="00E645B1">
        <w:t xml:space="preserve"> </w:t>
      </w:r>
      <w:proofErr w:type="spellStart"/>
      <w:r w:rsidRPr="00E645B1">
        <w:t>af</w:t>
      </w:r>
      <w:proofErr w:type="spellEnd"/>
      <w:r w:rsidRPr="00E645B1">
        <w:t xml:space="preserve"> </w:t>
      </w:r>
      <w:proofErr w:type="spellStart"/>
      <w:r w:rsidRPr="00E645B1">
        <w:t>atrieflimren</w:t>
      </w:r>
      <w:proofErr w:type="spellEnd"/>
    </w:p>
    <w:p w14:paraId="146B9EFD" w14:textId="0A5E0D8D" w:rsidR="00C52B21" w:rsidRPr="00DB2CE6" w:rsidRDefault="007B60F3" w:rsidP="00C52B21">
      <w:pPr>
        <w:rPr>
          <w:lang w:val="da-DK"/>
        </w:rPr>
      </w:pPr>
      <w:r w:rsidRPr="00E645B1">
        <w:t>• Nedsat leverfunktion eller leversygdom, der sandsynligvis vil påvirke overlevelsen</w:t>
      </w:r>
    </w:p>
    <w:p w14:paraId="5F676DD3" w14:textId="42AEF114" w:rsidR="00C52B21" w:rsidRPr="00DB2CE6" w:rsidRDefault="007B60F3" w:rsidP="00C52B21">
      <w:pPr>
        <w:rPr>
          <w:lang w:val="da-DK"/>
        </w:rPr>
      </w:pPr>
      <w:r w:rsidRPr="00E645B1">
        <w:t xml:space="preserve">• </w:t>
      </w:r>
      <w:proofErr w:type="spellStart"/>
      <w:r w:rsidRPr="00E645B1">
        <w:t>Samtidig</w:t>
      </w:r>
      <w:proofErr w:type="spellEnd"/>
      <w:r w:rsidRPr="00E645B1">
        <w:t xml:space="preserve"> </w:t>
      </w:r>
      <w:proofErr w:type="spellStart"/>
      <w:r w:rsidRPr="00E645B1">
        <w:t>behandling</w:t>
      </w:r>
      <w:proofErr w:type="spellEnd"/>
      <w:r w:rsidRPr="00E645B1">
        <w:t xml:space="preserve"> med </w:t>
      </w:r>
      <w:proofErr w:type="spellStart"/>
      <w:r w:rsidRPr="00E645B1">
        <w:t>følgende</w:t>
      </w:r>
      <w:proofErr w:type="spellEnd"/>
      <w:r w:rsidRPr="00E645B1">
        <w:t xml:space="preserve"> potente P-</w:t>
      </w:r>
      <w:proofErr w:type="spellStart"/>
      <w:r w:rsidRPr="00E645B1">
        <w:t>glycoproteinhæmmere</w:t>
      </w:r>
      <w:proofErr w:type="spellEnd"/>
      <w:r w:rsidRPr="00E645B1">
        <w:t xml:space="preserve">: </w:t>
      </w:r>
      <w:proofErr w:type="spellStart"/>
      <w:r w:rsidRPr="00E645B1">
        <w:t>systemisk</w:t>
      </w:r>
      <w:proofErr w:type="spellEnd"/>
      <w:r w:rsidRPr="00E645B1">
        <w:t xml:space="preserve"> </w:t>
      </w:r>
      <w:proofErr w:type="spellStart"/>
      <w:r w:rsidRPr="00E645B1">
        <w:t>ketoconazol</w:t>
      </w:r>
      <w:proofErr w:type="spellEnd"/>
      <w:r w:rsidRPr="00E645B1">
        <w:t xml:space="preserve">, </w:t>
      </w:r>
      <w:proofErr w:type="spellStart"/>
      <w:r w:rsidRPr="00E645B1">
        <w:t>ciclosporin</w:t>
      </w:r>
      <w:proofErr w:type="spellEnd"/>
      <w:r w:rsidRPr="00E645B1">
        <w:t xml:space="preserve">, </w:t>
      </w:r>
      <w:proofErr w:type="spellStart"/>
      <w:r w:rsidRPr="00E645B1">
        <w:t>itraconazol</w:t>
      </w:r>
      <w:proofErr w:type="spellEnd"/>
      <w:r w:rsidRPr="00E645B1">
        <w:t xml:space="preserve">, </w:t>
      </w:r>
      <w:proofErr w:type="spellStart"/>
      <w:r w:rsidRPr="00E645B1">
        <w:t>dronedaron</w:t>
      </w:r>
      <w:proofErr w:type="spellEnd"/>
      <w:r w:rsidRPr="00E645B1">
        <w:t xml:space="preserve"> </w:t>
      </w:r>
      <w:proofErr w:type="spellStart"/>
      <w:r w:rsidRPr="00E645B1">
        <w:t>og</w:t>
      </w:r>
      <w:proofErr w:type="spellEnd"/>
      <w:r w:rsidRPr="00E645B1">
        <w:t xml:space="preserve"> </w:t>
      </w:r>
      <w:proofErr w:type="spellStart"/>
      <w:r w:rsidR="009210C8" w:rsidRPr="009210C8">
        <w:t>kombinationsprodukter</w:t>
      </w:r>
      <w:proofErr w:type="spellEnd"/>
      <w:r w:rsidR="009210C8" w:rsidRPr="009210C8">
        <w:t xml:space="preserve"> </w:t>
      </w:r>
      <w:proofErr w:type="spellStart"/>
      <w:r w:rsidRPr="00E645B1">
        <w:t>af</w:t>
      </w:r>
      <w:proofErr w:type="spellEnd"/>
      <w:r w:rsidRPr="00E645B1">
        <w:t xml:space="preserve"> </w:t>
      </w:r>
      <w:proofErr w:type="spellStart"/>
      <w:r w:rsidRPr="00E645B1">
        <w:t>glecaprevir</w:t>
      </w:r>
      <w:proofErr w:type="spellEnd"/>
      <w:r w:rsidRPr="00E645B1">
        <w:t>/</w:t>
      </w:r>
      <w:proofErr w:type="spellStart"/>
      <w:r w:rsidRPr="00E645B1">
        <w:t>pibrentasvir</w:t>
      </w:r>
      <w:proofErr w:type="spellEnd"/>
    </w:p>
    <w:p w14:paraId="412DB059" w14:textId="2F764C9B" w:rsidR="00C52B21" w:rsidRPr="00DB2CE6" w:rsidRDefault="007B60F3" w:rsidP="00C52B21">
      <w:pPr>
        <w:rPr>
          <w:lang w:val="da-DK"/>
        </w:rPr>
      </w:pPr>
      <w:r w:rsidRPr="00E645B1">
        <w:t>• Patienter med kunstige hjerteklapper, der kræver antikoagulerende behandling</w:t>
      </w:r>
    </w:p>
    <w:p w14:paraId="0F550059" w14:textId="4AFB138C" w:rsidR="00C52B21" w:rsidRPr="00DB2CE6" w:rsidRDefault="00C52B21" w:rsidP="00C52B21">
      <w:pPr>
        <w:rPr>
          <w:lang w:val="da-DK"/>
        </w:rPr>
      </w:pPr>
    </w:p>
    <w:p w14:paraId="1D29CB10" w14:textId="24B9411A" w:rsidR="00C52B21" w:rsidRPr="00BB5616" w:rsidRDefault="00023FBB" w:rsidP="00C52B21">
      <w:pPr>
        <w:rPr>
          <w:b/>
          <w:bCs/>
          <w:sz w:val="28"/>
          <w:szCs w:val="28"/>
        </w:rPr>
      </w:pPr>
      <w:bookmarkStart w:id="3" w:name="_Toc161922286"/>
      <w:r>
        <w:rPr>
          <w:rStyle w:val="Overskrift1Tegn"/>
        </w:rPr>
        <w:t>Anbefalet daglig dosis</w:t>
      </w:r>
      <w:bookmarkEnd w:id="3"/>
      <w:r>
        <w:rPr>
          <w:rStyle w:val="Overskrift1Tegn"/>
        </w:rPr>
        <w:t xml:space="preserve"> </w:t>
      </w:r>
    </w:p>
    <w:tbl>
      <w:tblPr>
        <w:tblStyle w:val="Tabel-Gitter"/>
        <w:tblW w:w="0" w:type="auto"/>
        <w:tblLook w:val="04A0" w:firstRow="1" w:lastRow="0" w:firstColumn="1" w:lastColumn="0" w:noHBand="0" w:noVBand="1"/>
      </w:tblPr>
      <w:tblGrid>
        <w:gridCol w:w="4531"/>
        <w:gridCol w:w="4531"/>
      </w:tblGrid>
      <w:tr w:rsidR="003E5220" w14:paraId="451E95C9" w14:textId="77777777" w:rsidTr="003E5220">
        <w:tc>
          <w:tcPr>
            <w:tcW w:w="4531" w:type="dxa"/>
          </w:tcPr>
          <w:p w14:paraId="1FC1D6D3" w14:textId="77777777" w:rsidR="003E5220" w:rsidRDefault="003E5220" w:rsidP="00C52B21"/>
        </w:tc>
        <w:tc>
          <w:tcPr>
            <w:tcW w:w="4531" w:type="dxa"/>
          </w:tcPr>
          <w:p w14:paraId="6A5B216F" w14:textId="4F99C2E1" w:rsidR="003E5220" w:rsidRPr="00BF44A1" w:rsidRDefault="003E5220" w:rsidP="00C52B21">
            <w:pPr>
              <w:rPr>
                <w:b/>
                <w:bCs/>
              </w:rPr>
            </w:pPr>
            <w:r w:rsidRPr="00BF44A1">
              <w:rPr>
                <w:b/>
                <w:bCs/>
              </w:rPr>
              <w:t>Anbefalet dosis</w:t>
            </w:r>
          </w:p>
        </w:tc>
      </w:tr>
      <w:tr w:rsidR="003E5220" w:rsidRPr="00DA00F8" w14:paraId="3FEC16E1" w14:textId="77777777" w:rsidTr="003E5220">
        <w:tc>
          <w:tcPr>
            <w:tcW w:w="4531" w:type="dxa"/>
          </w:tcPr>
          <w:p w14:paraId="41652087" w14:textId="29A1BCAC" w:rsidR="003E5220" w:rsidRPr="00DB2CE6" w:rsidRDefault="003E5220" w:rsidP="003E5220">
            <w:pPr>
              <w:rPr>
                <w:lang w:val="da-DK"/>
              </w:rPr>
            </w:pPr>
            <w:r w:rsidRPr="00E645B1">
              <w:t>Forebyggelse af slagtilfælde og systemisk emboli hos voksne patienter med ikke-valvulær atrieflimren med en eller flere risikofaktorer (SPAF)</w:t>
            </w:r>
          </w:p>
        </w:tc>
        <w:tc>
          <w:tcPr>
            <w:tcW w:w="4531" w:type="dxa"/>
          </w:tcPr>
          <w:p w14:paraId="5F9DB315" w14:textId="1FA3D116" w:rsidR="003E5220" w:rsidRPr="00DB2CE6" w:rsidRDefault="003E5220" w:rsidP="00C52B21">
            <w:pPr>
              <w:rPr>
                <w:lang w:val="da-DK"/>
              </w:rPr>
            </w:pPr>
            <w:r w:rsidRPr="00E645B1">
              <w:t xml:space="preserve">300 mg dabigatranetexilat, taget som 1 kapsel a 150 mg </w:t>
            </w:r>
            <w:proofErr w:type="spellStart"/>
            <w:r w:rsidRPr="00E645B1">
              <w:t>to</w:t>
            </w:r>
            <w:proofErr w:type="spellEnd"/>
            <w:r w:rsidRPr="00E645B1">
              <w:t xml:space="preserve"> </w:t>
            </w:r>
            <w:proofErr w:type="spellStart"/>
            <w:r w:rsidRPr="00E645B1">
              <w:t>gange</w:t>
            </w:r>
            <w:proofErr w:type="spellEnd"/>
            <w:r w:rsidRPr="00E645B1">
              <w:t xml:space="preserve"> </w:t>
            </w:r>
            <w:proofErr w:type="spellStart"/>
            <w:r w:rsidRPr="00E645B1">
              <w:t>dagligt</w:t>
            </w:r>
            <w:proofErr w:type="spellEnd"/>
          </w:p>
        </w:tc>
      </w:tr>
      <w:tr w:rsidR="003E5220" w:rsidRPr="00DA00F8" w14:paraId="4207B85A" w14:textId="77777777" w:rsidTr="003E5220">
        <w:tc>
          <w:tcPr>
            <w:tcW w:w="4531" w:type="dxa"/>
          </w:tcPr>
          <w:p w14:paraId="5F367EF1" w14:textId="59DA4D21" w:rsidR="003E5220" w:rsidRPr="00DB2CE6" w:rsidRDefault="003E5220" w:rsidP="00C52B21">
            <w:pPr>
              <w:rPr>
                <w:lang w:val="da-DK"/>
              </w:rPr>
            </w:pPr>
            <w:proofErr w:type="spellStart"/>
            <w:r w:rsidRPr="00E645B1">
              <w:t>Behandling</w:t>
            </w:r>
            <w:proofErr w:type="spellEnd"/>
            <w:r w:rsidRPr="00E645B1">
              <w:t xml:space="preserve"> </w:t>
            </w:r>
            <w:proofErr w:type="spellStart"/>
            <w:r w:rsidRPr="00E645B1">
              <w:t>af</w:t>
            </w:r>
            <w:proofErr w:type="spellEnd"/>
            <w:r w:rsidRPr="00E645B1">
              <w:t xml:space="preserve"> </w:t>
            </w:r>
            <w:proofErr w:type="spellStart"/>
            <w:r w:rsidRPr="00E645B1">
              <w:t>dyb</w:t>
            </w:r>
            <w:proofErr w:type="spellEnd"/>
            <w:r w:rsidRPr="00E645B1">
              <w:t xml:space="preserve"> </w:t>
            </w:r>
            <w:proofErr w:type="spellStart"/>
            <w:r w:rsidRPr="00E645B1">
              <w:t>venetrombose</w:t>
            </w:r>
            <w:proofErr w:type="spellEnd"/>
            <w:r w:rsidRPr="00E645B1">
              <w:t xml:space="preserve"> (DVT) </w:t>
            </w:r>
            <w:proofErr w:type="spellStart"/>
            <w:r w:rsidRPr="00E645B1">
              <w:t>og</w:t>
            </w:r>
            <w:proofErr w:type="spellEnd"/>
            <w:r w:rsidRPr="00E645B1">
              <w:t xml:space="preserve"> </w:t>
            </w:r>
            <w:proofErr w:type="spellStart"/>
            <w:r w:rsidRPr="00E645B1">
              <w:t>lungeemboli</w:t>
            </w:r>
            <w:proofErr w:type="spellEnd"/>
            <w:r w:rsidRPr="00E645B1">
              <w:t xml:space="preserve"> (</w:t>
            </w:r>
            <w:r w:rsidR="00652503">
              <w:t>L</w:t>
            </w:r>
            <w:r w:rsidRPr="00E645B1">
              <w:t xml:space="preserve">E) </w:t>
            </w:r>
            <w:proofErr w:type="spellStart"/>
            <w:r w:rsidRPr="00E645B1">
              <w:t>og</w:t>
            </w:r>
            <w:proofErr w:type="spellEnd"/>
            <w:r w:rsidRPr="00E645B1">
              <w:t xml:space="preserve"> </w:t>
            </w:r>
            <w:proofErr w:type="spellStart"/>
            <w:r w:rsidRPr="00E645B1">
              <w:t>forebyggelse</w:t>
            </w:r>
            <w:proofErr w:type="spellEnd"/>
            <w:r w:rsidRPr="00E645B1">
              <w:t xml:space="preserve"> </w:t>
            </w:r>
            <w:proofErr w:type="spellStart"/>
            <w:r w:rsidRPr="00E645B1">
              <w:t>af</w:t>
            </w:r>
            <w:proofErr w:type="spellEnd"/>
            <w:r w:rsidRPr="00E645B1">
              <w:t xml:space="preserve"> </w:t>
            </w:r>
            <w:proofErr w:type="spellStart"/>
            <w:r w:rsidRPr="00E645B1">
              <w:t>recidiverende</w:t>
            </w:r>
            <w:proofErr w:type="spellEnd"/>
            <w:r w:rsidRPr="00E645B1">
              <w:t xml:space="preserve"> </w:t>
            </w:r>
            <w:proofErr w:type="spellStart"/>
            <w:r w:rsidRPr="00E645B1">
              <w:t>venøs</w:t>
            </w:r>
            <w:proofErr w:type="spellEnd"/>
            <w:r w:rsidRPr="00E645B1">
              <w:t xml:space="preserve"> </w:t>
            </w:r>
            <w:proofErr w:type="spellStart"/>
            <w:r w:rsidRPr="00E645B1">
              <w:t>trombose</w:t>
            </w:r>
            <w:proofErr w:type="spellEnd"/>
            <w:r w:rsidRPr="00E645B1">
              <w:t xml:space="preserve"> </w:t>
            </w:r>
            <w:proofErr w:type="spellStart"/>
            <w:r w:rsidRPr="00E645B1">
              <w:t>og</w:t>
            </w:r>
            <w:proofErr w:type="spellEnd"/>
            <w:r w:rsidRPr="00E645B1">
              <w:t xml:space="preserve"> </w:t>
            </w:r>
            <w:proofErr w:type="spellStart"/>
            <w:r w:rsidRPr="00E645B1">
              <w:t>lungeemboli</w:t>
            </w:r>
            <w:proofErr w:type="spellEnd"/>
            <w:r w:rsidRPr="00E645B1">
              <w:t xml:space="preserve"> </w:t>
            </w:r>
            <w:proofErr w:type="spellStart"/>
            <w:r w:rsidRPr="00E645B1">
              <w:t>hos</w:t>
            </w:r>
            <w:proofErr w:type="spellEnd"/>
            <w:r w:rsidRPr="00E645B1">
              <w:t xml:space="preserve"> </w:t>
            </w:r>
            <w:proofErr w:type="spellStart"/>
            <w:r w:rsidRPr="00E645B1">
              <w:t>voksne</w:t>
            </w:r>
            <w:proofErr w:type="spellEnd"/>
            <w:r w:rsidRPr="00E645B1">
              <w:t xml:space="preserve"> (DVT/LE)</w:t>
            </w:r>
          </w:p>
        </w:tc>
        <w:tc>
          <w:tcPr>
            <w:tcW w:w="4531" w:type="dxa"/>
          </w:tcPr>
          <w:p w14:paraId="48B0CF26" w14:textId="6D822F41" w:rsidR="003E5220" w:rsidRPr="00DB2CE6" w:rsidRDefault="003E5220" w:rsidP="00C52B21">
            <w:pPr>
              <w:rPr>
                <w:lang w:val="da-DK"/>
              </w:rPr>
            </w:pPr>
            <w:r w:rsidRPr="00E645B1">
              <w:t xml:space="preserve">300 mg dabigatranetexilat taget som 1 kapsel a 150 mg </w:t>
            </w:r>
            <w:proofErr w:type="spellStart"/>
            <w:r w:rsidRPr="00E645B1">
              <w:t>to</w:t>
            </w:r>
            <w:proofErr w:type="spellEnd"/>
            <w:r w:rsidRPr="00E645B1">
              <w:t xml:space="preserve"> </w:t>
            </w:r>
            <w:proofErr w:type="spellStart"/>
            <w:r w:rsidRPr="00E645B1">
              <w:t>gange</w:t>
            </w:r>
            <w:proofErr w:type="spellEnd"/>
            <w:r w:rsidRPr="00E645B1">
              <w:t xml:space="preserve"> </w:t>
            </w:r>
            <w:proofErr w:type="spellStart"/>
            <w:r w:rsidRPr="00E645B1">
              <w:t>dagligt</w:t>
            </w:r>
            <w:proofErr w:type="spellEnd"/>
            <w:r w:rsidRPr="00E645B1">
              <w:t xml:space="preserve"> </w:t>
            </w:r>
            <w:proofErr w:type="spellStart"/>
            <w:r w:rsidRPr="00E645B1">
              <w:t>efter</w:t>
            </w:r>
            <w:proofErr w:type="spellEnd"/>
            <w:r w:rsidRPr="00E645B1">
              <w:t xml:space="preserve"> </w:t>
            </w:r>
            <w:proofErr w:type="spellStart"/>
            <w:r w:rsidRPr="00E645B1">
              <w:t>mindst</w:t>
            </w:r>
            <w:proofErr w:type="spellEnd"/>
            <w:r w:rsidRPr="00E645B1">
              <w:t xml:space="preserve"> 5 </w:t>
            </w:r>
            <w:proofErr w:type="spellStart"/>
            <w:r w:rsidRPr="00E645B1">
              <w:t>dages</w:t>
            </w:r>
            <w:proofErr w:type="spellEnd"/>
            <w:r w:rsidRPr="00E645B1">
              <w:t xml:space="preserve"> </w:t>
            </w:r>
            <w:proofErr w:type="spellStart"/>
            <w:r w:rsidRPr="00E645B1">
              <w:t>behandling</w:t>
            </w:r>
            <w:proofErr w:type="spellEnd"/>
            <w:r w:rsidRPr="00E645B1">
              <w:t xml:space="preserve"> med parenteral </w:t>
            </w:r>
            <w:proofErr w:type="spellStart"/>
            <w:r w:rsidRPr="00E645B1">
              <w:t>antikoagulantia</w:t>
            </w:r>
            <w:proofErr w:type="spellEnd"/>
          </w:p>
        </w:tc>
      </w:tr>
    </w:tbl>
    <w:p w14:paraId="77F0B0F9" w14:textId="67C23CFC" w:rsidR="003E5220" w:rsidRPr="00DB2CE6" w:rsidRDefault="003E5220" w:rsidP="00C52B21">
      <w:pPr>
        <w:rPr>
          <w:lang w:val="da-DK"/>
        </w:rPr>
      </w:pPr>
    </w:p>
    <w:p w14:paraId="21AA8B8E" w14:textId="07432DED" w:rsidR="003E5220" w:rsidRPr="00BB5616" w:rsidRDefault="00BB5616" w:rsidP="00C52B21">
      <w:pPr>
        <w:rPr>
          <w:b/>
          <w:bCs/>
        </w:rPr>
      </w:pPr>
      <w:r w:rsidRPr="00BB5616">
        <w:rPr>
          <w:rFonts w:cstheme="minorHAnsi"/>
          <w:b/>
          <w:bCs/>
          <w:spacing w:val="-2"/>
        </w:rPr>
        <w:t>Dosisreduktion</w:t>
      </w:r>
    </w:p>
    <w:tbl>
      <w:tblPr>
        <w:tblStyle w:val="Tabel-Gitter"/>
        <w:tblW w:w="0" w:type="auto"/>
        <w:tblLook w:val="04A0" w:firstRow="1" w:lastRow="0" w:firstColumn="1" w:lastColumn="0" w:noHBand="0" w:noVBand="1"/>
      </w:tblPr>
      <w:tblGrid>
        <w:gridCol w:w="4531"/>
        <w:gridCol w:w="4531"/>
      </w:tblGrid>
      <w:tr w:rsidR="00CC4C80" w14:paraId="128E14FE" w14:textId="77777777" w:rsidTr="00CC4C80">
        <w:tc>
          <w:tcPr>
            <w:tcW w:w="4531" w:type="dxa"/>
          </w:tcPr>
          <w:p w14:paraId="2FC7D844" w14:textId="77777777" w:rsidR="00CC4C80" w:rsidRDefault="00CC4C80" w:rsidP="00C52B21"/>
        </w:tc>
        <w:tc>
          <w:tcPr>
            <w:tcW w:w="4531" w:type="dxa"/>
          </w:tcPr>
          <w:p w14:paraId="20C0767B" w14:textId="31547647" w:rsidR="00CC4C80" w:rsidRPr="00BF44A1" w:rsidRDefault="00CC4C80" w:rsidP="00C52B21">
            <w:pPr>
              <w:rPr>
                <w:b/>
                <w:bCs/>
              </w:rPr>
            </w:pPr>
            <w:r w:rsidRPr="00BF44A1">
              <w:rPr>
                <w:b/>
                <w:bCs/>
              </w:rPr>
              <w:t>Anbefalet dosis</w:t>
            </w:r>
          </w:p>
        </w:tc>
      </w:tr>
      <w:tr w:rsidR="00CC4C80" w14:paraId="45BD5CD8" w14:textId="77777777" w:rsidTr="002632DD">
        <w:tc>
          <w:tcPr>
            <w:tcW w:w="9062" w:type="dxa"/>
            <w:gridSpan w:val="2"/>
          </w:tcPr>
          <w:p w14:paraId="697EEFAB" w14:textId="786D5269" w:rsidR="00CC4C80" w:rsidRPr="00BF44A1" w:rsidRDefault="00CC4C80" w:rsidP="00C52B21">
            <w:pPr>
              <w:rPr>
                <w:b/>
                <w:bCs/>
              </w:rPr>
            </w:pPr>
            <w:r w:rsidRPr="00BF44A1">
              <w:rPr>
                <w:b/>
                <w:bCs/>
              </w:rPr>
              <w:t>Anbefalet dosisreduktion</w:t>
            </w:r>
          </w:p>
        </w:tc>
      </w:tr>
      <w:tr w:rsidR="00CC4C80" w:rsidRPr="00DA00F8" w14:paraId="48F45764" w14:textId="77777777" w:rsidTr="00CC4C80">
        <w:tc>
          <w:tcPr>
            <w:tcW w:w="4531" w:type="dxa"/>
          </w:tcPr>
          <w:p w14:paraId="0C9FAFA0" w14:textId="4047A772" w:rsidR="00CC4C80" w:rsidRDefault="00CC4C80" w:rsidP="00C52B21">
            <w:r w:rsidRPr="00CC4C80">
              <w:t>Patienter ≥ 80 år</w:t>
            </w:r>
          </w:p>
        </w:tc>
        <w:tc>
          <w:tcPr>
            <w:tcW w:w="4531" w:type="dxa"/>
            <w:vMerge w:val="restart"/>
          </w:tcPr>
          <w:p w14:paraId="652148D7" w14:textId="06A9CC79" w:rsidR="00CC4C80" w:rsidRPr="00DB2CE6" w:rsidRDefault="00CC4C80" w:rsidP="00C52B21">
            <w:pPr>
              <w:rPr>
                <w:lang w:val="da-DK"/>
              </w:rPr>
            </w:pPr>
            <w:r w:rsidRPr="00E645B1">
              <w:t xml:space="preserve">Daglig dosis dabigatranetexilat 220 mg, taget som 1 kapsel a 110 mg </w:t>
            </w:r>
            <w:proofErr w:type="spellStart"/>
            <w:r w:rsidRPr="00E645B1">
              <w:t>to</w:t>
            </w:r>
            <w:proofErr w:type="spellEnd"/>
            <w:r w:rsidRPr="00E645B1">
              <w:t xml:space="preserve"> </w:t>
            </w:r>
            <w:proofErr w:type="spellStart"/>
            <w:r w:rsidRPr="00E645B1">
              <w:t>gange</w:t>
            </w:r>
            <w:proofErr w:type="spellEnd"/>
            <w:r w:rsidRPr="00E645B1">
              <w:t xml:space="preserve"> </w:t>
            </w:r>
            <w:proofErr w:type="spellStart"/>
            <w:r w:rsidRPr="00E645B1">
              <w:t>dagligt</w:t>
            </w:r>
            <w:proofErr w:type="spellEnd"/>
          </w:p>
        </w:tc>
      </w:tr>
      <w:tr w:rsidR="00CC4C80" w14:paraId="3AD48D04" w14:textId="77777777" w:rsidTr="00CC4C80">
        <w:tc>
          <w:tcPr>
            <w:tcW w:w="4531" w:type="dxa"/>
          </w:tcPr>
          <w:p w14:paraId="60C977C2" w14:textId="048C7BB6" w:rsidR="00CC4C80" w:rsidRDefault="00CC4C80" w:rsidP="00C52B21">
            <w:proofErr w:type="spellStart"/>
            <w:r w:rsidRPr="00CC4C80">
              <w:t>Patienter</w:t>
            </w:r>
            <w:proofErr w:type="spellEnd"/>
            <w:r w:rsidRPr="00CC4C80">
              <w:t xml:space="preserve">, der </w:t>
            </w:r>
            <w:proofErr w:type="spellStart"/>
            <w:r w:rsidRPr="00CC4C80">
              <w:t>samtidig</w:t>
            </w:r>
            <w:proofErr w:type="spellEnd"/>
            <w:r w:rsidRPr="00CC4C80">
              <w:t xml:space="preserve"> </w:t>
            </w:r>
            <w:proofErr w:type="spellStart"/>
            <w:r w:rsidRPr="00CC4C80">
              <w:t>får</w:t>
            </w:r>
            <w:proofErr w:type="spellEnd"/>
            <w:r w:rsidRPr="00CC4C80">
              <w:t xml:space="preserve"> </w:t>
            </w:r>
            <w:proofErr w:type="spellStart"/>
            <w:r w:rsidRPr="00CC4C80">
              <w:t>verapamil</w:t>
            </w:r>
            <w:proofErr w:type="spellEnd"/>
          </w:p>
        </w:tc>
        <w:tc>
          <w:tcPr>
            <w:tcW w:w="4531" w:type="dxa"/>
            <w:vMerge/>
          </w:tcPr>
          <w:p w14:paraId="2C0444EA" w14:textId="77777777" w:rsidR="00CC4C80" w:rsidRDefault="00CC4C80" w:rsidP="00C52B21"/>
        </w:tc>
      </w:tr>
      <w:tr w:rsidR="00CC4C80" w:rsidRPr="00DA00F8" w14:paraId="20564D95" w14:textId="77777777" w:rsidTr="0089193C">
        <w:tc>
          <w:tcPr>
            <w:tcW w:w="9062" w:type="dxa"/>
            <w:gridSpan w:val="2"/>
          </w:tcPr>
          <w:p w14:paraId="3B7C0847" w14:textId="3D37EF96" w:rsidR="00CC4C80" w:rsidRPr="00E645B1" w:rsidRDefault="00CC4C80" w:rsidP="00C52B21">
            <w:pPr>
              <w:rPr>
                <w:b/>
                <w:bCs/>
                <w:lang w:val="en-US"/>
              </w:rPr>
            </w:pPr>
            <w:r w:rsidRPr="00E645B1">
              <w:rPr>
                <w:b/>
                <w:bCs/>
              </w:rPr>
              <w:t>Dosisreduktion bør overvejes</w:t>
            </w:r>
          </w:p>
        </w:tc>
      </w:tr>
      <w:tr w:rsidR="00B97A00" w:rsidRPr="00DA00F8" w14:paraId="311936AD" w14:textId="77777777" w:rsidTr="00CC4C80">
        <w:tc>
          <w:tcPr>
            <w:tcW w:w="4531" w:type="dxa"/>
          </w:tcPr>
          <w:p w14:paraId="29EB130A" w14:textId="74327A87" w:rsidR="00B97A00" w:rsidRPr="00E645B1" w:rsidRDefault="00B97A00" w:rsidP="00C52B21">
            <w:pPr>
              <w:rPr>
                <w:lang w:val="en-US"/>
              </w:rPr>
            </w:pPr>
            <w:r w:rsidRPr="00E645B1">
              <w:t>Patienter mellem 75 og 80 år</w:t>
            </w:r>
          </w:p>
        </w:tc>
        <w:tc>
          <w:tcPr>
            <w:tcW w:w="4531" w:type="dxa"/>
            <w:vMerge w:val="restart"/>
          </w:tcPr>
          <w:p w14:paraId="3A462C2B" w14:textId="7969F22A" w:rsidR="00B97A00" w:rsidRPr="00DB2CE6" w:rsidRDefault="00B97A00" w:rsidP="00C52B21">
            <w:pPr>
              <w:rPr>
                <w:lang w:val="da-DK"/>
              </w:rPr>
            </w:pPr>
            <w:r w:rsidRPr="00E645B1">
              <w:t xml:space="preserve">En </w:t>
            </w:r>
            <w:proofErr w:type="spellStart"/>
            <w:r w:rsidRPr="00E645B1">
              <w:t>daglig</w:t>
            </w:r>
            <w:proofErr w:type="spellEnd"/>
            <w:r w:rsidRPr="00E645B1">
              <w:t xml:space="preserve"> </w:t>
            </w:r>
            <w:proofErr w:type="spellStart"/>
            <w:r w:rsidRPr="00E645B1">
              <w:t>dosis</w:t>
            </w:r>
            <w:proofErr w:type="spellEnd"/>
            <w:r w:rsidRPr="00E645B1">
              <w:t xml:space="preserve"> </w:t>
            </w:r>
            <w:proofErr w:type="spellStart"/>
            <w:r w:rsidRPr="00E645B1">
              <w:t>på</w:t>
            </w:r>
            <w:proofErr w:type="spellEnd"/>
            <w:r w:rsidRPr="00E645B1">
              <w:t xml:space="preserve"> 300 mg </w:t>
            </w:r>
            <w:proofErr w:type="spellStart"/>
            <w:r w:rsidRPr="00E645B1">
              <w:t>eller</w:t>
            </w:r>
            <w:proofErr w:type="spellEnd"/>
            <w:r w:rsidRPr="00E645B1">
              <w:t xml:space="preserve"> 220 mg </w:t>
            </w:r>
            <w:proofErr w:type="spellStart"/>
            <w:r w:rsidRPr="00E645B1">
              <w:t>dabigatranetexilat</w:t>
            </w:r>
            <w:proofErr w:type="spellEnd"/>
            <w:r w:rsidRPr="00E645B1">
              <w:t xml:space="preserve"> </w:t>
            </w:r>
            <w:proofErr w:type="spellStart"/>
            <w:r w:rsidRPr="00E645B1">
              <w:t>bør</w:t>
            </w:r>
            <w:proofErr w:type="spellEnd"/>
            <w:r w:rsidRPr="00E645B1">
              <w:t xml:space="preserve"> </w:t>
            </w:r>
            <w:proofErr w:type="spellStart"/>
            <w:r w:rsidRPr="00E645B1">
              <w:t>vælges</w:t>
            </w:r>
            <w:proofErr w:type="spellEnd"/>
            <w:r w:rsidRPr="00E645B1">
              <w:t xml:space="preserve"> </w:t>
            </w:r>
            <w:proofErr w:type="spellStart"/>
            <w:r w:rsidRPr="00E645B1">
              <w:t>ud</w:t>
            </w:r>
            <w:proofErr w:type="spellEnd"/>
            <w:r w:rsidRPr="00E645B1">
              <w:t xml:space="preserve"> </w:t>
            </w:r>
            <w:proofErr w:type="spellStart"/>
            <w:r w:rsidRPr="00E645B1">
              <w:t>fra</w:t>
            </w:r>
            <w:proofErr w:type="spellEnd"/>
            <w:r w:rsidRPr="00E645B1">
              <w:t xml:space="preserve"> en </w:t>
            </w:r>
            <w:proofErr w:type="spellStart"/>
            <w:r w:rsidRPr="00E645B1">
              <w:t>individuel</w:t>
            </w:r>
            <w:proofErr w:type="spellEnd"/>
            <w:r w:rsidRPr="00E645B1">
              <w:t xml:space="preserve"> </w:t>
            </w:r>
            <w:proofErr w:type="spellStart"/>
            <w:r w:rsidRPr="00E645B1">
              <w:t>vurdering</w:t>
            </w:r>
            <w:proofErr w:type="spellEnd"/>
            <w:r w:rsidRPr="00E645B1">
              <w:t xml:space="preserve"> </w:t>
            </w:r>
            <w:proofErr w:type="spellStart"/>
            <w:r w:rsidRPr="00E645B1">
              <w:t>af</w:t>
            </w:r>
            <w:proofErr w:type="spellEnd"/>
            <w:r w:rsidRPr="00E645B1">
              <w:t xml:space="preserve"> </w:t>
            </w:r>
            <w:proofErr w:type="spellStart"/>
            <w:r w:rsidRPr="00E645B1">
              <w:t>tromboembolisk</w:t>
            </w:r>
            <w:proofErr w:type="spellEnd"/>
            <w:r w:rsidRPr="00E645B1">
              <w:t xml:space="preserve"> </w:t>
            </w:r>
            <w:proofErr w:type="spellStart"/>
            <w:r w:rsidRPr="00E645B1">
              <w:t>risiko</w:t>
            </w:r>
            <w:proofErr w:type="spellEnd"/>
            <w:r w:rsidRPr="00E645B1">
              <w:t xml:space="preserve"> </w:t>
            </w:r>
            <w:proofErr w:type="spellStart"/>
            <w:r w:rsidRPr="00E645B1">
              <w:t>og</w:t>
            </w:r>
            <w:proofErr w:type="spellEnd"/>
            <w:r w:rsidRPr="00E645B1">
              <w:t xml:space="preserve"> </w:t>
            </w:r>
            <w:proofErr w:type="spellStart"/>
            <w:r w:rsidRPr="00E645B1">
              <w:t>blødningsrisiko</w:t>
            </w:r>
            <w:proofErr w:type="spellEnd"/>
          </w:p>
        </w:tc>
      </w:tr>
      <w:tr w:rsidR="00B97A00" w:rsidRPr="00DA00F8" w14:paraId="16FBA37D" w14:textId="77777777" w:rsidTr="00CC4C80">
        <w:tc>
          <w:tcPr>
            <w:tcW w:w="4531" w:type="dxa"/>
          </w:tcPr>
          <w:p w14:paraId="2F536882" w14:textId="7356DC19" w:rsidR="00B97A00" w:rsidRPr="00DB2CE6" w:rsidRDefault="00B97A00" w:rsidP="00C52B21">
            <w:pPr>
              <w:rPr>
                <w:lang w:val="da-DK"/>
              </w:rPr>
            </w:pPr>
            <w:r w:rsidRPr="00E645B1">
              <w:t>Patienter med moderat nedsat nyrefunktion (CrCl 30-50 ml/min)</w:t>
            </w:r>
          </w:p>
        </w:tc>
        <w:tc>
          <w:tcPr>
            <w:tcW w:w="4531" w:type="dxa"/>
            <w:vMerge/>
          </w:tcPr>
          <w:p w14:paraId="2DDD1F04" w14:textId="77777777" w:rsidR="00B97A00" w:rsidRPr="00DB2CE6" w:rsidRDefault="00B97A00" w:rsidP="00C52B21">
            <w:pPr>
              <w:rPr>
                <w:lang w:val="da-DK"/>
              </w:rPr>
            </w:pPr>
          </w:p>
        </w:tc>
      </w:tr>
      <w:tr w:rsidR="00B97A00" w14:paraId="7780C02B" w14:textId="77777777" w:rsidTr="00CC4C80">
        <w:tc>
          <w:tcPr>
            <w:tcW w:w="4531" w:type="dxa"/>
          </w:tcPr>
          <w:p w14:paraId="4EBBAD61" w14:textId="479C4ECD" w:rsidR="00B97A00" w:rsidRDefault="00B97A00" w:rsidP="00C52B21">
            <w:proofErr w:type="spellStart"/>
            <w:r w:rsidRPr="00B97A00">
              <w:t>Patienter</w:t>
            </w:r>
            <w:proofErr w:type="spellEnd"/>
            <w:r w:rsidRPr="00B97A00">
              <w:t xml:space="preserve"> med </w:t>
            </w:r>
            <w:proofErr w:type="spellStart"/>
            <w:r w:rsidRPr="00B97A00">
              <w:t>gastritis</w:t>
            </w:r>
            <w:proofErr w:type="spellEnd"/>
            <w:r w:rsidRPr="00B97A00">
              <w:t xml:space="preserve">, </w:t>
            </w:r>
            <w:proofErr w:type="spellStart"/>
            <w:r w:rsidRPr="00B97A00">
              <w:t>spiserør</w:t>
            </w:r>
            <w:proofErr w:type="spellEnd"/>
            <w:r w:rsidRPr="00B97A00">
              <w:t xml:space="preserve"> </w:t>
            </w:r>
            <w:proofErr w:type="spellStart"/>
            <w:r w:rsidRPr="00B97A00">
              <w:t>eller</w:t>
            </w:r>
            <w:proofErr w:type="spellEnd"/>
            <w:r w:rsidRPr="00B97A00">
              <w:t xml:space="preserve"> </w:t>
            </w:r>
            <w:proofErr w:type="spellStart"/>
            <w:r w:rsidRPr="00B97A00">
              <w:t>gastroøsofageal</w:t>
            </w:r>
            <w:proofErr w:type="spellEnd"/>
            <w:r w:rsidRPr="00B97A00">
              <w:t xml:space="preserve"> </w:t>
            </w:r>
            <w:proofErr w:type="spellStart"/>
            <w:r w:rsidRPr="00B97A00">
              <w:t>refluks</w:t>
            </w:r>
            <w:proofErr w:type="spellEnd"/>
          </w:p>
        </w:tc>
        <w:tc>
          <w:tcPr>
            <w:tcW w:w="4531" w:type="dxa"/>
            <w:vMerge/>
          </w:tcPr>
          <w:p w14:paraId="10F73A35" w14:textId="77777777" w:rsidR="00B97A00" w:rsidRDefault="00B97A00" w:rsidP="00C52B21"/>
        </w:tc>
      </w:tr>
      <w:tr w:rsidR="00B97A00" w:rsidRPr="00DA00F8" w14:paraId="562B2214" w14:textId="77777777" w:rsidTr="00CC4C80">
        <w:tc>
          <w:tcPr>
            <w:tcW w:w="4531" w:type="dxa"/>
          </w:tcPr>
          <w:p w14:paraId="3A235ECD" w14:textId="5A9CFAC1" w:rsidR="00B97A00" w:rsidRPr="00DB2CE6" w:rsidRDefault="00B97A00" w:rsidP="00C52B21">
            <w:pPr>
              <w:rPr>
                <w:lang w:val="da-DK"/>
              </w:rPr>
            </w:pPr>
            <w:r w:rsidRPr="00E645B1">
              <w:t>Andre patienter med øget risiko for blødning</w:t>
            </w:r>
          </w:p>
        </w:tc>
        <w:tc>
          <w:tcPr>
            <w:tcW w:w="4531" w:type="dxa"/>
            <w:vMerge/>
          </w:tcPr>
          <w:p w14:paraId="79F8BB02" w14:textId="77777777" w:rsidR="00B97A00" w:rsidRPr="00DB2CE6" w:rsidRDefault="00B97A00" w:rsidP="00C52B21">
            <w:pPr>
              <w:rPr>
                <w:lang w:val="da-DK"/>
              </w:rPr>
            </w:pPr>
          </w:p>
        </w:tc>
      </w:tr>
    </w:tbl>
    <w:p w14:paraId="2DE85DD5" w14:textId="46647D49" w:rsidR="00BB5616" w:rsidRPr="00DB2CE6" w:rsidRDefault="00BB5616" w:rsidP="00C52B21">
      <w:pPr>
        <w:rPr>
          <w:lang w:val="da-DK"/>
        </w:rPr>
      </w:pPr>
    </w:p>
    <w:p w14:paraId="1827293F" w14:textId="19F8C8CF" w:rsidR="00BB5616" w:rsidRPr="00BB5616" w:rsidRDefault="00BB5616" w:rsidP="00C52B21">
      <w:pPr>
        <w:rPr>
          <w:b/>
          <w:bCs/>
        </w:rPr>
      </w:pPr>
      <w:proofErr w:type="spellStart"/>
      <w:r w:rsidRPr="00BB5616">
        <w:rPr>
          <w:rFonts w:cstheme="minorHAnsi"/>
          <w:b/>
          <w:bCs/>
          <w:spacing w:val="-2"/>
        </w:rPr>
        <w:t>Varighed</w:t>
      </w:r>
      <w:proofErr w:type="spellEnd"/>
      <w:r w:rsidRPr="00BB5616">
        <w:rPr>
          <w:rFonts w:cstheme="minorHAnsi"/>
          <w:b/>
          <w:bCs/>
          <w:spacing w:val="-2"/>
        </w:rPr>
        <w:t xml:space="preserve"> </w:t>
      </w:r>
      <w:proofErr w:type="spellStart"/>
      <w:r w:rsidRPr="00BB5616">
        <w:rPr>
          <w:rFonts w:cstheme="minorHAnsi"/>
          <w:b/>
          <w:bCs/>
          <w:spacing w:val="-2"/>
        </w:rPr>
        <w:t>af</w:t>
      </w:r>
      <w:proofErr w:type="spellEnd"/>
      <w:r w:rsidRPr="00BB5616">
        <w:rPr>
          <w:rFonts w:cstheme="minorHAnsi"/>
          <w:b/>
          <w:bCs/>
          <w:spacing w:val="-2"/>
        </w:rPr>
        <w:t xml:space="preserve"> </w:t>
      </w:r>
      <w:proofErr w:type="spellStart"/>
      <w:r w:rsidRPr="00BB5616">
        <w:rPr>
          <w:rFonts w:cstheme="minorHAnsi"/>
          <w:b/>
          <w:bCs/>
          <w:spacing w:val="-2"/>
        </w:rPr>
        <w:t>brug</w:t>
      </w:r>
      <w:proofErr w:type="spellEnd"/>
    </w:p>
    <w:tbl>
      <w:tblPr>
        <w:tblStyle w:val="Tabel-Gitter"/>
        <w:tblW w:w="0" w:type="auto"/>
        <w:tblLook w:val="04A0" w:firstRow="1" w:lastRow="0" w:firstColumn="1" w:lastColumn="0" w:noHBand="0" w:noVBand="1"/>
      </w:tblPr>
      <w:tblGrid>
        <w:gridCol w:w="4531"/>
        <w:gridCol w:w="4531"/>
      </w:tblGrid>
      <w:tr w:rsidR="00DC7E4B" w14:paraId="0603F94F" w14:textId="77777777" w:rsidTr="00DC7E4B">
        <w:tc>
          <w:tcPr>
            <w:tcW w:w="4531" w:type="dxa"/>
          </w:tcPr>
          <w:p w14:paraId="36D1D367" w14:textId="405EE9A8" w:rsidR="00DC7E4B" w:rsidRPr="00513835" w:rsidRDefault="00DC7E4B" w:rsidP="00C52B21">
            <w:pPr>
              <w:rPr>
                <w:b/>
                <w:bCs/>
              </w:rPr>
            </w:pPr>
            <w:r w:rsidRPr="00513835">
              <w:rPr>
                <w:b/>
                <w:bCs/>
              </w:rPr>
              <w:t>Indikation</w:t>
            </w:r>
          </w:p>
        </w:tc>
        <w:tc>
          <w:tcPr>
            <w:tcW w:w="4531" w:type="dxa"/>
          </w:tcPr>
          <w:p w14:paraId="2AA7E4DF" w14:textId="42C2230F" w:rsidR="00DC7E4B" w:rsidRPr="00513835" w:rsidRDefault="00DC7E4B" w:rsidP="00C52B21">
            <w:pPr>
              <w:rPr>
                <w:b/>
                <w:bCs/>
              </w:rPr>
            </w:pPr>
            <w:r w:rsidRPr="00513835">
              <w:rPr>
                <w:b/>
                <w:bCs/>
              </w:rPr>
              <w:t>Varighed af brug</w:t>
            </w:r>
          </w:p>
        </w:tc>
      </w:tr>
      <w:tr w:rsidR="00DC7E4B" w:rsidRPr="00DA00F8" w14:paraId="6EDA227E" w14:textId="77777777" w:rsidTr="00DC7E4B">
        <w:tc>
          <w:tcPr>
            <w:tcW w:w="4531" w:type="dxa"/>
          </w:tcPr>
          <w:p w14:paraId="61800B50" w14:textId="5A51C67D" w:rsidR="00DC7E4B" w:rsidRDefault="00DC7E4B" w:rsidP="00C52B21">
            <w:r w:rsidRPr="00DC7E4B">
              <w:t>SPAF</w:t>
            </w:r>
          </w:p>
        </w:tc>
        <w:tc>
          <w:tcPr>
            <w:tcW w:w="4531" w:type="dxa"/>
          </w:tcPr>
          <w:p w14:paraId="083EDE13" w14:textId="2DC4F24F" w:rsidR="00DC7E4B" w:rsidRPr="00E645B1" w:rsidRDefault="00DC7E4B" w:rsidP="00C52B21">
            <w:pPr>
              <w:rPr>
                <w:lang w:val="en-US"/>
              </w:rPr>
            </w:pPr>
            <w:r w:rsidRPr="00E645B1">
              <w:t>Behandlingen bør være langsigtet.</w:t>
            </w:r>
          </w:p>
        </w:tc>
      </w:tr>
      <w:tr w:rsidR="00DC7E4B" w:rsidRPr="00DA00F8" w14:paraId="4E925440" w14:textId="77777777" w:rsidTr="00DC7E4B">
        <w:tc>
          <w:tcPr>
            <w:tcW w:w="4531" w:type="dxa"/>
          </w:tcPr>
          <w:p w14:paraId="416A2054" w14:textId="3BD181F2" w:rsidR="00DC7E4B" w:rsidRDefault="00DC7E4B" w:rsidP="00C52B21">
            <w:r w:rsidRPr="00DC7E4B">
              <w:t>DVT / PE</w:t>
            </w:r>
          </w:p>
        </w:tc>
        <w:tc>
          <w:tcPr>
            <w:tcW w:w="4531" w:type="dxa"/>
          </w:tcPr>
          <w:p w14:paraId="61C0DD75" w14:textId="77777777" w:rsidR="00DC7E4B" w:rsidRPr="00DB2CE6" w:rsidRDefault="00DC7E4B" w:rsidP="00DC7E4B">
            <w:pPr>
              <w:rPr>
                <w:lang w:val="da-DK"/>
              </w:rPr>
            </w:pPr>
            <w:r w:rsidRPr="00E645B1">
              <w:t>Varigheden af behandlingen bør justeres individuelt efter omhyggelig vurdering af den terapeutiske fordel versus risikoen for blødning.</w:t>
            </w:r>
          </w:p>
          <w:p w14:paraId="1F67075E" w14:textId="733A18F2" w:rsidR="00DC7E4B" w:rsidRPr="00DB2CE6" w:rsidRDefault="00513835" w:rsidP="00DC7E4B">
            <w:pPr>
              <w:rPr>
                <w:lang w:val="da-DK"/>
              </w:rPr>
            </w:pPr>
            <w:r w:rsidRPr="00E645B1">
              <w:t xml:space="preserve">En kort behandlingsvarighed (mindst 3 måneder) bør være baseret på forbigående risikofaktorer (f.eks. </w:t>
            </w:r>
            <w:proofErr w:type="spellStart"/>
            <w:r w:rsidRPr="00E645B1">
              <w:t>tidligere</w:t>
            </w:r>
            <w:proofErr w:type="spellEnd"/>
            <w:r w:rsidRPr="00E645B1">
              <w:t xml:space="preserve"> </w:t>
            </w:r>
            <w:proofErr w:type="spellStart"/>
            <w:r w:rsidRPr="00E645B1">
              <w:t>operation</w:t>
            </w:r>
            <w:proofErr w:type="spellEnd"/>
            <w:r w:rsidRPr="00E645B1">
              <w:t xml:space="preserve">, </w:t>
            </w:r>
            <w:proofErr w:type="spellStart"/>
            <w:r w:rsidRPr="00E645B1">
              <w:t>traume</w:t>
            </w:r>
            <w:proofErr w:type="spellEnd"/>
            <w:r w:rsidRPr="00E645B1">
              <w:t xml:space="preserve">, </w:t>
            </w:r>
            <w:proofErr w:type="spellStart"/>
            <w:r w:rsidRPr="00E645B1">
              <w:t>immobilisering</w:t>
            </w:r>
            <w:proofErr w:type="spellEnd"/>
            <w:r w:rsidRPr="00E645B1">
              <w:t xml:space="preserve">), </w:t>
            </w:r>
            <w:proofErr w:type="spellStart"/>
            <w:r w:rsidRPr="00E645B1">
              <w:t>og</w:t>
            </w:r>
            <w:proofErr w:type="spellEnd"/>
            <w:r w:rsidRPr="00E645B1">
              <w:t xml:space="preserve"> en </w:t>
            </w:r>
            <w:proofErr w:type="spellStart"/>
            <w:r w:rsidRPr="00E645B1">
              <w:t>længere</w:t>
            </w:r>
            <w:proofErr w:type="spellEnd"/>
            <w:r w:rsidRPr="00E645B1">
              <w:t xml:space="preserve"> </w:t>
            </w:r>
            <w:proofErr w:type="spellStart"/>
            <w:r w:rsidRPr="00E645B1">
              <w:t>behandlingsvarighed</w:t>
            </w:r>
            <w:proofErr w:type="spellEnd"/>
            <w:r w:rsidRPr="00E645B1">
              <w:t xml:space="preserve"> </w:t>
            </w:r>
            <w:proofErr w:type="spellStart"/>
            <w:r w:rsidRPr="00E645B1">
              <w:t>bør</w:t>
            </w:r>
            <w:proofErr w:type="spellEnd"/>
            <w:r w:rsidRPr="00E645B1">
              <w:t xml:space="preserve"> </w:t>
            </w:r>
            <w:proofErr w:type="spellStart"/>
            <w:r w:rsidRPr="00E645B1">
              <w:t>baseres</w:t>
            </w:r>
            <w:proofErr w:type="spellEnd"/>
            <w:r w:rsidRPr="00E645B1">
              <w:t xml:space="preserve"> </w:t>
            </w:r>
            <w:proofErr w:type="spellStart"/>
            <w:r w:rsidRPr="00E645B1">
              <w:t>på</w:t>
            </w:r>
            <w:proofErr w:type="spellEnd"/>
            <w:r w:rsidRPr="00E645B1">
              <w:t xml:space="preserve"> permanente </w:t>
            </w:r>
            <w:proofErr w:type="spellStart"/>
            <w:r w:rsidRPr="00E645B1">
              <w:t>risikofaktorer</w:t>
            </w:r>
            <w:proofErr w:type="spellEnd"/>
            <w:r w:rsidRPr="00E645B1">
              <w:t xml:space="preserve"> </w:t>
            </w:r>
            <w:proofErr w:type="spellStart"/>
            <w:r w:rsidRPr="00E645B1">
              <w:t>eller</w:t>
            </w:r>
            <w:proofErr w:type="spellEnd"/>
            <w:r w:rsidRPr="00E645B1">
              <w:t xml:space="preserve"> </w:t>
            </w:r>
            <w:proofErr w:type="spellStart"/>
            <w:r w:rsidRPr="00E645B1">
              <w:t>idiopatisk</w:t>
            </w:r>
            <w:proofErr w:type="spellEnd"/>
            <w:r w:rsidRPr="00E645B1">
              <w:t xml:space="preserve"> DVT </w:t>
            </w:r>
            <w:proofErr w:type="spellStart"/>
            <w:r w:rsidRPr="00E645B1">
              <w:t>eller</w:t>
            </w:r>
            <w:proofErr w:type="spellEnd"/>
            <w:r w:rsidRPr="00E645B1">
              <w:t xml:space="preserve"> PE.</w:t>
            </w:r>
          </w:p>
        </w:tc>
      </w:tr>
    </w:tbl>
    <w:p w14:paraId="3408F4DF" w14:textId="4795AC75" w:rsidR="00BB5616" w:rsidRPr="00DB2CE6" w:rsidRDefault="00BB5616" w:rsidP="00C52B21">
      <w:pPr>
        <w:rPr>
          <w:lang w:val="da-DK"/>
        </w:rPr>
      </w:pPr>
    </w:p>
    <w:p w14:paraId="5405E7EF" w14:textId="5369C54B" w:rsidR="00DC7E4B" w:rsidRPr="00DB2CE6" w:rsidRDefault="00DC7E4B" w:rsidP="00C52B21">
      <w:pPr>
        <w:rPr>
          <w:lang w:val="da-DK"/>
        </w:rPr>
      </w:pPr>
    </w:p>
    <w:p w14:paraId="77EF2BCF" w14:textId="77777777" w:rsidR="00755DD1" w:rsidRPr="00DB2CE6" w:rsidRDefault="00755DD1" w:rsidP="00755DD1">
      <w:pPr>
        <w:rPr>
          <w:b/>
          <w:bCs/>
          <w:lang w:val="da-DK"/>
        </w:rPr>
      </w:pPr>
      <w:r w:rsidRPr="00E645B1">
        <w:rPr>
          <w:b/>
          <w:bCs/>
        </w:rPr>
        <w:t>Anbefaling om at kontrollere nyrefunktionen hos alle patienter</w:t>
      </w:r>
    </w:p>
    <w:p w14:paraId="565FA994" w14:textId="11F9C89E" w:rsidR="00755DD1" w:rsidRPr="00DB2CE6" w:rsidRDefault="00755DD1" w:rsidP="00755DD1">
      <w:pPr>
        <w:rPr>
          <w:lang w:val="da-DK"/>
        </w:rPr>
      </w:pPr>
      <w:proofErr w:type="spellStart"/>
      <w:r w:rsidRPr="00E645B1">
        <w:t>Før</w:t>
      </w:r>
      <w:proofErr w:type="spellEnd"/>
      <w:r w:rsidRPr="00E645B1">
        <w:t xml:space="preserve"> </w:t>
      </w:r>
      <w:proofErr w:type="spellStart"/>
      <w:r w:rsidRPr="00E645B1">
        <w:t>behandling</w:t>
      </w:r>
      <w:proofErr w:type="spellEnd"/>
      <w:r w:rsidRPr="00E645B1">
        <w:t xml:space="preserve"> med </w:t>
      </w:r>
      <w:proofErr w:type="spellStart"/>
      <w:r w:rsidRPr="00E645B1">
        <w:t>dabigatranetexilat</w:t>
      </w:r>
      <w:proofErr w:type="spellEnd"/>
      <w:r w:rsidRPr="00E645B1">
        <w:t xml:space="preserve"> </w:t>
      </w:r>
      <w:proofErr w:type="spellStart"/>
      <w:r w:rsidRPr="00E645B1">
        <w:t>bør</w:t>
      </w:r>
      <w:proofErr w:type="spellEnd"/>
      <w:r w:rsidRPr="00E645B1">
        <w:t xml:space="preserve"> </w:t>
      </w:r>
      <w:proofErr w:type="spellStart"/>
      <w:r w:rsidRPr="00E645B1">
        <w:t>nyrefunktionen</w:t>
      </w:r>
      <w:proofErr w:type="spellEnd"/>
      <w:r w:rsidRPr="00E645B1">
        <w:t xml:space="preserve"> </w:t>
      </w:r>
      <w:proofErr w:type="spellStart"/>
      <w:r w:rsidRPr="00E645B1">
        <w:t>evalueres</w:t>
      </w:r>
      <w:proofErr w:type="spellEnd"/>
      <w:r w:rsidRPr="00E645B1">
        <w:t xml:space="preserve"> </w:t>
      </w:r>
      <w:proofErr w:type="spellStart"/>
      <w:r w:rsidRPr="00E645B1">
        <w:t>ved</w:t>
      </w:r>
      <w:proofErr w:type="spellEnd"/>
      <w:r w:rsidRPr="00E645B1">
        <w:t xml:space="preserve"> at </w:t>
      </w:r>
      <w:proofErr w:type="spellStart"/>
      <w:r w:rsidRPr="00E645B1">
        <w:t>bestemme</w:t>
      </w:r>
      <w:proofErr w:type="spellEnd"/>
      <w:r w:rsidRPr="00E645B1">
        <w:t xml:space="preserve"> </w:t>
      </w:r>
      <w:proofErr w:type="spellStart"/>
      <w:r w:rsidRPr="00E645B1">
        <w:t>kreatininclearance</w:t>
      </w:r>
      <w:proofErr w:type="spellEnd"/>
      <w:r w:rsidRPr="00E645B1">
        <w:t xml:space="preserve"> </w:t>
      </w:r>
      <w:proofErr w:type="spellStart"/>
      <w:r w:rsidRPr="00E645B1">
        <w:t>ved</w:t>
      </w:r>
      <w:proofErr w:type="spellEnd"/>
      <w:r w:rsidRPr="00E645B1">
        <w:t xml:space="preserve"> </w:t>
      </w:r>
      <w:proofErr w:type="spellStart"/>
      <w:r w:rsidRPr="00E645B1">
        <w:t>hjælp</w:t>
      </w:r>
      <w:proofErr w:type="spellEnd"/>
      <w:r w:rsidRPr="00E645B1">
        <w:t xml:space="preserve"> </w:t>
      </w:r>
      <w:proofErr w:type="spellStart"/>
      <w:r w:rsidRPr="00E645B1">
        <w:t>af</w:t>
      </w:r>
      <w:proofErr w:type="spellEnd"/>
      <w:r w:rsidRPr="00E645B1">
        <w:t xml:space="preserve"> Cockcroft-Gault-</w:t>
      </w:r>
      <w:proofErr w:type="spellStart"/>
      <w:r w:rsidRPr="00E645B1">
        <w:t>formlen</w:t>
      </w:r>
      <w:proofErr w:type="spellEnd"/>
      <w:r w:rsidRPr="00E645B1">
        <w:t xml:space="preserve">* </w:t>
      </w:r>
      <w:proofErr w:type="spellStart"/>
      <w:r w:rsidRPr="00E645B1">
        <w:t>for</w:t>
      </w:r>
      <w:proofErr w:type="spellEnd"/>
      <w:r w:rsidRPr="00E645B1">
        <w:t xml:space="preserve"> at </w:t>
      </w:r>
      <w:proofErr w:type="spellStart"/>
      <w:r w:rsidRPr="00E645B1">
        <w:t>udelukke</w:t>
      </w:r>
      <w:proofErr w:type="spellEnd"/>
      <w:r w:rsidRPr="00E645B1">
        <w:t xml:space="preserve"> </w:t>
      </w:r>
      <w:proofErr w:type="spellStart"/>
      <w:r w:rsidRPr="00E645B1">
        <w:t>patienter</w:t>
      </w:r>
      <w:proofErr w:type="spellEnd"/>
      <w:r w:rsidRPr="00E645B1">
        <w:t xml:space="preserve"> med </w:t>
      </w:r>
      <w:proofErr w:type="spellStart"/>
      <w:r w:rsidRPr="00E645B1">
        <w:t>svært</w:t>
      </w:r>
      <w:proofErr w:type="spellEnd"/>
      <w:r w:rsidRPr="00E645B1">
        <w:t xml:space="preserve"> </w:t>
      </w:r>
      <w:proofErr w:type="spellStart"/>
      <w:r w:rsidRPr="00E645B1">
        <w:t>nedsat</w:t>
      </w:r>
      <w:proofErr w:type="spellEnd"/>
      <w:r w:rsidRPr="00E645B1">
        <w:t xml:space="preserve"> </w:t>
      </w:r>
      <w:proofErr w:type="spellStart"/>
      <w:r w:rsidRPr="00E645B1">
        <w:t>nyrefunktion</w:t>
      </w:r>
      <w:proofErr w:type="spellEnd"/>
      <w:r w:rsidRPr="00E645B1">
        <w:t xml:space="preserve"> (</w:t>
      </w:r>
      <w:proofErr w:type="spellStart"/>
      <w:r w:rsidRPr="00E645B1">
        <w:t>kreatininclearance</w:t>
      </w:r>
      <w:proofErr w:type="spellEnd"/>
      <w:r w:rsidRPr="00E645B1">
        <w:t xml:space="preserve"> &lt; 30 ml/min).</w:t>
      </w:r>
    </w:p>
    <w:p w14:paraId="2EF97D04" w14:textId="3602F595" w:rsidR="00755DD1" w:rsidRPr="00DB2CE6" w:rsidRDefault="00755DD1" w:rsidP="00755DD1">
      <w:pPr>
        <w:rPr>
          <w:lang w:val="da-DK"/>
        </w:rPr>
      </w:pPr>
      <w:r w:rsidRPr="00E645B1">
        <w:lastRenderedPageBreak/>
        <w:t>• Nyrefunktionen bør evalueres i kliniske situationer, hvor der er mistanke om et muligt fald eller forringelse af nyrefunktionen (f.eks. hypovolæmi, dehydrering og visse former for samtidig medicinering).</w:t>
      </w:r>
    </w:p>
    <w:p w14:paraId="343DCBA9" w14:textId="553DE350" w:rsidR="00755DD1" w:rsidRPr="00DB2CE6" w:rsidRDefault="00F353AC" w:rsidP="00755DD1">
      <w:pPr>
        <w:rPr>
          <w:lang w:val="da-DK"/>
        </w:rPr>
      </w:pPr>
      <w:r w:rsidRPr="00E645B1">
        <w:t>• Hos ældre patienter (&gt; 75 år) eller hos patienter med nedsat nyrefunktion bør nyrefunktionen kontrolleres mindst en gang om året.</w:t>
      </w:r>
    </w:p>
    <w:p w14:paraId="41BAD7A1" w14:textId="77777777" w:rsidR="00755DD1" w:rsidRPr="00DB2CE6" w:rsidRDefault="00755DD1" w:rsidP="00755DD1">
      <w:pPr>
        <w:rPr>
          <w:lang w:val="da-DK"/>
        </w:rPr>
      </w:pPr>
    </w:p>
    <w:p w14:paraId="1BC2A876" w14:textId="37EF0F09" w:rsidR="00755DD1" w:rsidRPr="00DB2CE6" w:rsidRDefault="00755DD1" w:rsidP="00755DD1">
      <w:pPr>
        <w:rPr>
          <w:b/>
          <w:bCs/>
          <w:lang w:val="da-DK"/>
        </w:rPr>
      </w:pPr>
      <w:r w:rsidRPr="00E645B1">
        <w:rPr>
          <w:b/>
          <w:bCs/>
        </w:rPr>
        <w:t>*Cockcroft-Gault formel</w:t>
      </w:r>
    </w:p>
    <w:p w14:paraId="7EF130A4" w14:textId="1B102F48" w:rsidR="00755DD1" w:rsidRPr="00DB2CE6" w:rsidRDefault="004D641D" w:rsidP="00C52B21">
      <w:pPr>
        <w:rPr>
          <w:lang w:val="da-DK"/>
        </w:rPr>
      </w:pPr>
      <w:r w:rsidRPr="00E645B1">
        <w:t>Når serumkreatinin gives i mg/dl:</w:t>
      </w:r>
    </w:p>
    <w:p w14:paraId="70251432" w14:textId="17921AAF" w:rsidR="004D641D" w:rsidRDefault="00BB4B1D" w:rsidP="00C52B21">
      <m:oMathPara>
        <m:oMath>
          <m:r>
            <w:rPr>
              <w:rFonts w:ascii="Cambria Math" w:hAnsi="Cambria Math"/>
            </w:rPr>
            <m:t>CrCl (ml/min)=</m:t>
          </m:r>
          <m:f>
            <m:fPr>
              <m:ctrlPr>
                <w:rPr>
                  <w:rFonts w:ascii="Cambria Math" w:hAnsi="Cambria Math"/>
                </w:rPr>
              </m:ctrlPr>
            </m:fPr>
            <m:num>
              <m:d>
                <m:dPr>
                  <m:ctrlPr>
                    <w:rPr>
                      <w:rFonts w:ascii="Cambria Math" w:hAnsi="Cambria Math"/>
                      <w:i/>
                    </w:rPr>
                  </m:ctrlPr>
                </m:dPr>
                <m:e>
                  <m:r>
                    <w:rPr>
                      <w:rFonts w:ascii="Cambria Math" w:hAnsi="Cambria Math"/>
                    </w:rPr>
                    <m:t>140-alder</m:t>
                  </m:r>
                </m:e>
              </m:d>
              <m:r>
                <w:rPr>
                  <w:rFonts w:ascii="Cambria Math" w:hAnsi="Cambria Math"/>
                </w:rPr>
                <m:t xml:space="preserve"> x vægt </m:t>
              </m:r>
              <m:d>
                <m:dPr>
                  <m:ctrlPr>
                    <w:rPr>
                      <w:rFonts w:ascii="Cambria Math" w:hAnsi="Cambria Math"/>
                      <w:i/>
                    </w:rPr>
                  </m:ctrlPr>
                </m:dPr>
                <m:e>
                  <m:r>
                    <w:rPr>
                      <w:rFonts w:ascii="Cambria Math" w:hAnsi="Cambria Math"/>
                    </w:rPr>
                    <m:t>kg</m:t>
                  </m:r>
                </m:e>
              </m:d>
            </m:num>
            <m:den>
              <m:r>
                <w:rPr>
                  <w:rFonts w:ascii="Cambria Math" w:hAnsi="Cambria Math"/>
                </w:rPr>
                <m:t xml:space="preserve">72 x serumkreatinin </m:t>
              </m:r>
              <m:d>
                <m:dPr>
                  <m:ctrlPr>
                    <w:rPr>
                      <w:rFonts w:ascii="Cambria Math" w:hAnsi="Cambria Math"/>
                      <w:i/>
                    </w:rPr>
                  </m:ctrlPr>
                </m:dPr>
                <m:e>
                  <m:f>
                    <m:fPr>
                      <m:ctrlPr>
                        <w:rPr>
                          <w:rFonts w:ascii="Cambria Math" w:hAnsi="Cambria Math"/>
                          <w:i/>
                        </w:rPr>
                      </m:ctrlPr>
                    </m:fPr>
                    <m:num>
                      <m:r>
                        <w:rPr>
                          <w:rFonts w:ascii="Cambria Math" w:hAnsi="Cambria Math"/>
                        </w:rPr>
                        <m:t>mg</m:t>
                      </m:r>
                    </m:num>
                    <m:den>
                      <m:r>
                        <w:rPr>
                          <w:rFonts w:ascii="Cambria Math" w:hAnsi="Cambria Math"/>
                        </w:rPr>
                        <m:t>dl</m:t>
                      </m:r>
                    </m:den>
                  </m:f>
                </m:e>
              </m:d>
            </m:den>
          </m:f>
          <m:r>
            <w:rPr>
              <w:rFonts w:ascii="Cambria Math" w:hAnsi="Cambria Math"/>
            </w:rPr>
            <m:t xml:space="preserve"> (x 0,85 </m:t>
          </m:r>
          <m:r>
            <w:rPr>
              <w:rFonts w:ascii="Cambria Math" w:hAnsi="Cambria Math"/>
            </w:rPr>
            <m:t xml:space="preserve">hvis kvinde)  </m:t>
          </m:r>
        </m:oMath>
      </m:oMathPara>
    </w:p>
    <w:p w14:paraId="1C556B93" w14:textId="19671B27" w:rsidR="004D641D" w:rsidRPr="00DB2CE6" w:rsidRDefault="004D641D" w:rsidP="004D641D">
      <w:pPr>
        <w:rPr>
          <w:lang w:val="da-DK"/>
        </w:rPr>
      </w:pPr>
      <w:r w:rsidRPr="00E645B1">
        <w:t xml:space="preserve">Når serumkreatinin udtrykkes i </w:t>
      </w:r>
      <w:r>
        <w:rPr>
          <w:rFonts w:cstheme="minorHAnsi"/>
        </w:rPr>
        <w:t>μmol/l:</w:t>
      </w:r>
    </w:p>
    <w:p w14:paraId="52C5BD0E" w14:textId="6AF10F8B" w:rsidR="004D641D" w:rsidRDefault="00730D14" w:rsidP="00C52B21">
      <m:oMathPara>
        <m:oMath>
          <m:r>
            <w:rPr>
              <w:rFonts w:ascii="Cambria Math" w:hAnsi="Cambria Math"/>
            </w:rPr>
            <m:t>CrCl (ml/min)=</m:t>
          </m:r>
          <m:f>
            <m:fPr>
              <m:ctrlPr>
                <w:rPr>
                  <w:rFonts w:ascii="Cambria Math" w:hAnsi="Cambria Math"/>
                </w:rPr>
              </m:ctrlPr>
            </m:fPr>
            <m:num>
              <m:r>
                <w:rPr>
                  <w:rFonts w:ascii="Cambria Math" w:hAnsi="Cambria Math"/>
                </w:rPr>
                <m:t xml:space="preserve">1,23 x </m:t>
              </m:r>
              <m:d>
                <m:dPr>
                  <m:ctrlPr>
                    <w:rPr>
                      <w:rFonts w:ascii="Cambria Math" w:hAnsi="Cambria Math"/>
                      <w:i/>
                    </w:rPr>
                  </m:ctrlPr>
                </m:dPr>
                <m:e>
                  <m:r>
                    <w:rPr>
                      <w:rFonts w:ascii="Cambria Math" w:hAnsi="Cambria Math"/>
                    </w:rPr>
                    <m:t>140-age</m:t>
                  </m:r>
                </m:e>
              </m:d>
              <m:r>
                <w:rPr>
                  <w:rFonts w:ascii="Cambria Math" w:hAnsi="Cambria Math"/>
                </w:rPr>
                <m:t xml:space="preserve"> x vægt </m:t>
              </m:r>
              <m:d>
                <m:dPr>
                  <m:ctrlPr>
                    <w:rPr>
                      <w:rFonts w:ascii="Cambria Math" w:hAnsi="Cambria Math"/>
                      <w:i/>
                    </w:rPr>
                  </m:ctrlPr>
                </m:dPr>
                <m:e>
                  <m:r>
                    <w:rPr>
                      <w:rFonts w:ascii="Cambria Math" w:hAnsi="Cambria Math"/>
                    </w:rPr>
                    <m:t>kg</m:t>
                  </m:r>
                </m:e>
              </m:d>
            </m:num>
            <m:den>
              <m:r>
                <w:rPr>
                  <w:rFonts w:ascii="Cambria Math" w:hAnsi="Cambria Math"/>
                </w:rPr>
                <m:t xml:space="preserve">Serumkreatinin </m:t>
              </m:r>
              <m:d>
                <m:dPr>
                  <m:ctrlPr>
                    <w:rPr>
                      <w:rFonts w:ascii="Cambria Math" w:hAnsi="Cambria Math"/>
                      <w:i/>
                      <w:lang w:val="nb-NO"/>
                    </w:rPr>
                  </m:ctrlPr>
                </m:dPr>
                <m:e>
                  <m:r>
                    <w:rPr>
                      <w:rFonts w:ascii="Cambria Math" w:hAnsi="Cambria Math"/>
                      <w:lang w:val="nb-NO"/>
                    </w:rPr>
                    <m:t>μmol/l</m:t>
                  </m:r>
                </m:e>
              </m:d>
            </m:den>
          </m:f>
          <m:r>
            <w:rPr>
              <w:rFonts w:ascii="Cambria Math" w:hAnsi="Cambria Math"/>
            </w:rPr>
            <m:t xml:space="preserve"> (x 0,85 </m:t>
          </m:r>
          <m:r>
            <w:rPr>
              <w:rFonts w:ascii="Cambria Math" w:hAnsi="Cambria Math"/>
            </w:rPr>
            <m:t xml:space="preserve">hvis kvinde)  </m:t>
          </m:r>
        </m:oMath>
      </m:oMathPara>
    </w:p>
    <w:p w14:paraId="22C516BF" w14:textId="00C987C1" w:rsidR="004D641D" w:rsidRPr="00DB2CE6" w:rsidRDefault="004D641D" w:rsidP="00C52B21">
      <w:pPr>
        <w:rPr>
          <w:lang w:val="da-DK"/>
        </w:rPr>
      </w:pPr>
      <w:r w:rsidRPr="00E645B1">
        <w:t>Hos kvinder multipliceres den beregnede værdi med 0, 85 på grund af den lavere andel af muskler.</w:t>
      </w:r>
    </w:p>
    <w:p w14:paraId="1621909D" w14:textId="20B58771" w:rsidR="00755DD1" w:rsidRPr="00DB2CE6" w:rsidRDefault="00755DD1" w:rsidP="00C52B21">
      <w:pPr>
        <w:rPr>
          <w:lang w:val="da-DK"/>
        </w:rPr>
      </w:pPr>
    </w:p>
    <w:p w14:paraId="2ED2D591" w14:textId="21093F6A" w:rsidR="00210CF6" w:rsidRDefault="004D641D" w:rsidP="004D641D">
      <w:r w:rsidRPr="00E645B1">
        <w:t>*</w:t>
      </w:r>
      <w:r w:rsidR="00210CF6" w:rsidRPr="00210CF6">
        <w:t xml:space="preserve">Da </w:t>
      </w:r>
      <w:proofErr w:type="spellStart"/>
      <w:r w:rsidR="00210CF6" w:rsidRPr="00210CF6">
        <w:t>kreatininclearance</w:t>
      </w:r>
      <w:proofErr w:type="spellEnd"/>
      <w:r w:rsidR="00210CF6" w:rsidRPr="00210CF6">
        <w:t xml:space="preserve"> </w:t>
      </w:r>
      <w:proofErr w:type="spellStart"/>
      <w:r w:rsidR="00210CF6" w:rsidRPr="00210CF6">
        <w:t>blev</w:t>
      </w:r>
      <w:proofErr w:type="spellEnd"/>
      <w:r w:rsidR="00210CF6" w:rsidRPr="00210CF6">
        <w:t xml:space="preserve"> beregnet </w:t>
      </w:r>
      <w:proofErr w:type="spellStart"/>
      <w:r w:rsidR="00210CF6" w:rsidRPr="00210CF6">
        <w:t>ved</w:t>
      </w:r>
      <w:proofErr w:type="spellEnd"/>
      <w:r w:rsidR="00210CF6" w:rsidRPr="00210CF6">
        <w:t xml:space="preserve"> </w:t>
      </w:r>
      <w:proofErr w:type="spellStart"/>
      <w:r w:rsidR="00210CF6" w:rsidRPr="00210CF6">
        <w:t>hjælp</w:t>
      </w:r>
      <w:proofErr w:type="spellEnd"/>
      <w:r w:rsidR="00210CF6" w:rsidRPr="00210CF6">
        <w:t xml:space="preserve"> </w:t>
      </w:r>
      <w:proofErr w:type="spellStart"/>
      <w:r w:rsidR="00210CF6" w:rsidRPr="00210CF6">
        <w:t>af</w:t>
      </w:r>
      <w:proofErr w:type="spellEnd"/>
      <w:r w:rsidR="00210CF6" w:rsidRPr="00210CF6">
        <w:t xml:space="preserve"> serum-</w:t>
      </w:r>
      <w:proofErr w:type="spellStart"/>
      <w:r w:rsidR="00210CF6" w:rsidRPr="00210CF6">
        <w:t>kreatininniveauer</w:t>
      </w:r>
      <w:proofErr w:type="spellEnd"/>
      <w:r w:rsidR="00210CF6" w:rsidRPr="00210CF6">
        <w:t xml:space="preserve"> </w:t>
      </w:r>
      <w:proofErr w:type="spellStart"/>
      <w:r w:rsidR="00210CF6" w:rsidRPr="00210CF6">
        <w:t>ved</w:t>
      </w:r>
      <w:proofErr w:type="spellEnd"/>
      <w:r w:rsidR="00210CF6" w:rsidRPr="00210CF6">
        <w:t xml:space="preserve"> </w:t>
      </w:r>
      <w:proofErr w:type="spellStart"/>
      <w:r w:rsidR="00210CF6" w:rsidRPr="00210CF6">
        <w:t>hjælp</w:t>
      </w:r>
      <w:proofErr w:type="spellEnd"/>
      <w:r w:rsidR="00210CF6" w:rsidRPr="00210CF6">
        <w:t xml:space="preserve"> </w:t>
      </w:r>
      <w:proofErr w:type="spellStart"/>
      <w:r w:rsidR="00210CF6" w:rsidRPr="00210CF6">
        <w:t>af</w:t>
      </w:r>
      <w:proofErr w:type="spellEnd"/>
      <w:r w:rsidR="00210CF6" w:rsidRPr="00210CF6">
        <w:t xml:space="preserve"> Cockcroft-Gault-</w:t>
      </w:r>
      <w:proofErr w:type="spellStart"/>
      <w:r w:rsidR="00210CF6" w:rsidRPr="00210CF6">
        <w:t>formlen</w:t>
      </w:r>
      <w:proofErr w:type="spellEnd"/>
      <w:r w:rsidR="00210CF6" w:rsidRPr="00210CF6">
        <w:t xml:space="preserve"> i </w:t>
      </w:r>
      <w:proofErr w:type="spellStart"/>
      <w:r w:rsidR="00866D6D" w:rsidRPr="00210CF6">
        <w:t>dabigatran</w:t>
      </w:r>
      <w:r w:rsidR="00866D6D">
        <w:t>etexilat</w:t>
      </w:r>
      <w:proofErr w:type="spellEnd"/>
      <w:r w:rsidR="00866D6D" w:rsidRPr="00210CF6">
        <w:t xml:space="preserve"> </w:t>
      </w:r>
      <w:proofErr w:type="spellStart"/>
      <w:r w:rsidR="00210CF6" w:rsidRPr="00210CF6">
        <w:t>undersøgelser</w:t>
      </w:r>
      <w:proofErr w:type="spellEnd"/>
      <w:r w:rsidR="00210CF6" w:rsidRPr="00210CF6">
        <w:t xml:space="preserve">, </w:t>
      </w:r>
      <w:proofErr w:type="spellStart"/>
      <w:r w:rsidR="00210CF6" w:rsidRPr="00210CF6">
        <w:t>refererer</w:t>
      </w:r>
      <w:proofErr w:type="spellEnd"/>
      <w:r w:rsidR="00210CF6" w:rsidRPr="00210CF6">
        <w:t xml:space="preserve"> de globale </w:t>
      </w:r>
      <w:proofErr w:type="spellStart"/>
      <w:r w:rsidR="00210CF6" w:rsidRPr="00210CF6">
        <w:t>anbefalinger</w:t>
      </w:r>
      <w:proofErr w:type="spellEnd"/>
      <w:r w:rsidR="00210CF6" w:rsidRPr="00210CF6">
        <w:t xml:space="preserve"> </w:t>
      </w:r>
      <w:proofErr w:type="spellStart"/>
      <w:r w:rsidR="00210CF6" w:rsidRPr="00210CF6">
        <w:t>til</w:t>
      </w:r>
      <w:proofErr w:type="spellEnd"/>
      <w:r w:rsidR="00210CF6" w:rsidRPr="00210CF6">
        <w:t xml:space="preserve"> </w:t>
      </w:r>
      <w:proofErr w:type="spellStart"/>
      <w:r w:rsidR="00210CF6" w:rsidRPr="00210CF6">
        <w:t>vurdering</w:t>
      </w:r>
      <w:proofErr w:type="spellEnd"/>
      <w:r w:rsidR="00210CF6" w:rsidRPr="00210CF6">
        <w:t xml:space="preserve"> </w:t>
      </w:r>
      <w:proofErr w:type="spellStart"/>
      <w:r w:rsidR="00210CF6" w:rsidRPr="00210CF6">
        <w:t>af</w:t>
      </w:r>
      <w:proofErr w:type="spellEnd"/>
      <w:r w:rsidR="00210CF6" w:rsidRPr="00210CF6">
        <w:t xml:space="preserve"> </w:t>
      </w:r>
      <w:proofErr w:type="spellStart"/>
      <w:r w:rsidR="00210CF6" w:rsidRPr="00210CF6">
        <w:t>nyrefunktionen</w:t>
      </w:r>
      <w:proofErr w:type="spellEnd"/>
      <w:r w:rsidR="00210CF6" w:rsidRPr="00210CF6">
        <w:t xml:space="preserve"> i </w:t>
      </w:r>
      <w:proofErr w:type="spellStart"/>
      <w:r w:rsidR="00210CF6" w:rsidRPr="00210CF6">
        <w:t>dabigatran</w:t>
      </w:r>
      <w:proofErr w:type="spellEnd"/>
      <w:r w:rsidR="00210CF6" w:rsidRPr="00210CF6">
        <w:t xml:space="preserve"> </w:t>
      </w:r>
      <w:proofErr w:type="spellStart"/>
      <w:r w:rsidR="00210CF6" w:rsidRPr="00210CF6">
        <w:t>produktresuméet</w:t>
      </w:r>
      <w:proofErr w:type="spellEnd"/>
      <w:r w:rsidR="00210CF6" w:rsidRPr="00210CF6">
        <w:t xml:space="preserve"> </w:t>
      </w:r>
      <w:proofErr w:type="spellStart"/>
      <w:r w:rsidR="00210CF6" w:rsidRPr="00210CF6">
        <w:t>altid</w:t>
      </w:r>
      <w:proofErr w:type="spellEnd"/>
      <w:r w:rsidR="00210CF6" w:rsidRPr="00210CF6">
        <w:t xml:space="preserve"> </w:t>
      </w:r>
      <w:proofErr w:type="spellStart"/>
      <w:r w:rsidR="00210CF6" w:rsidRPr="00210CF6">
        <w:t>til</w:t>
      </w:r>
      <w:proofErr w:type="spellEnd"/>
      <w:r w:rsidR="00210CF6" w:rsidRPr="00210CF6">
        <w:t xml:space="preserve"> </w:t>
      </w:r>
      <w:proofErr w:type="spellStart"/>
      <w:r w:rsidR="00210CF6" w:rsidRPr="00210CF6">
        <w:t>kreatininclearance</w:t>
      </w:r>
      <w:proofErr w:type="spellEnd"/>
      <w:r w:rsidR="00210CF6" w:rsidRPr="00210CF6">
        <w:t xml:space="preserve"> </w:t>
      </w:r>
      <w:proofErr w:type="spellStart"/>
      <w:r w:rsidR="00210CF6" w:rsidRPr="00210CF6">
        <w:t>estimeret</w:t>
      </w:r>
      <w:proofErr w:type="spellEnd"/>
      <w:r w:rsidR="00210CF6" w:rsidRPr="00210CF6">
        <w:t xml:space="preserve"> </w:t>
      </w:r>
      <w:proofErr w:type="spellStart"/>
      <w:r w:rsidR="00210CF6" w:rsidRPr="00210CF6">
        <w:t>ved</w:t>
      </w:r>
      <w:proofErr w:type="spellEnd"/>
      <w:r w:rsidR="00210CF6" w:rsidRPr="00210CF6">
        <w:t xml:space="preserve"> </w:t>
      </w:r>
      <w:proofErr w:type="spellStart"/>
      <w:r w:rsidR="00210CF6" w:rsidRPr="00210CF6">
        <w:t>hjælp</w:t>
      </w:r>
      <w:proofErr w:type="spellEnd"/>
      <w:r w:rsidR="00210CF6" w:rsidRPr="00210CF6">
        <w:t xml:space="preserve"> </w:t>
      </w:r>
      <w:proofErr w:type="spellStart"/>
      <w:r w:rsidR="00210CF6" w:rsidRPr="00210CF6">
        <w:t>af</w:t>
      </w:r>
      <w:proofErr w:type="spellEnd"/>
      <w:r w:rsidR="00210CF6" w:rsidRPr="00210CF6">
        <w:t xml:space="preserve"> Cockcroft-Gault-</w:t>
      </w:r>
      <w:proofErr w:type="spellStart"/>
      <w:r w:rsidR="00210CF6" w:rsidRPr="00210CF6">
        <w:t>formlen</w:t>
      </w:r>
      <w:proofErr w:type="spellEnd"/>
    </w:p>
    <w:p w14:paraId="14AF6FD9" w14:textId="29629A85" w:rsidR="00755DD1" w:rsidRPr="00DB2CE6" w:rsidRDefault="00755DD1" w:rsidP="00C52B21">
      <w:pPr>
        <w:rPr>
          <w:lang w:val="da-DK"/>
        </w:rPr>
      </w:pPr>
    </w:p>
    <w:p w14:paraId="1DA76150" w14:textId="30792E21" w:rsidR="008659B7" w:rsidRPr="00DB2CE6" w:rsidRDefault="00BA7578" w:rsidP="008659B7">
      <w:pPr>
        <w:rPr>
          <w:b/>
          <w:bCs/>
          <w:lang w:val="da-DK"/>
        </w:rPr>
      </w:pPr>
      <w:proofErr w:type="spellStart"/>
      <w:r>
        <w:rPr>
          <w:b/>
          <w:bCs/>
        </w:rPr>
        <w:t>Behandlingsskift</w:t>
      </w:r>
      <w:proofErr w:type="spellEnd"/>
    </w:p>
    <w:p w14:paraId="394D055E" w14:textId="22D579B5" w:rsidR="008659B7" w:rsidRPr="00DB2CE6" w:rsidRDefault="008659B7" w:rsidP="008659B7">
      <w:pPr>
        <w:rPr>
          <w:i/>
          <w:iCs/>
          <w:lang w:val="da-DK"/>
        </w:rPr>
      </w:pPr>
      <w:proofErr w:type="spellStart"/>
      <w:r w:rsidRPr="00E645B1">
        <w:rPr>
          <w:i/>
          <w:iCs/>
        </w:rPr>
        <w:t>Fra</w:t>
      </w:r>
      <w:proofErr w:type="spellEnd"/>
      <w:r w:rsidRPr="00E645B1">
        <w:rPr>
          <w:i/>
          <w:iCs/>
        </w:rPr>
        <w:t xml:space="preserve"> </w:t>
      </w:r>
      <w:proofErr w:type="spellStart"/>
      <w:r w:rsidRPr="00E645B1">
        <w:rPr>
          <w:i/>
          <w:iCs/>
        </w:rPr>
        <w:t>dabigatran</w:t>
      </w:r>
      <w:proofErr w:type="spellEnd"/>
      <w:r w:rsidRPr="00E645B1">
        <w:rPr>
          <w:i/>
          <w:iCs/>
        </w:rPr>
        <w:t xml:space="preserve"> </w:t>
      </w:r>
      <w:proofErr w:type="spellStart"/>
      <w:r w:rsidRPr="00E645B1">
        <w:rPr>
          <w:i/>
          <w:iCs/>
        </w:rPr>
        <w:t>e</w:t>
      </w:r>
      <w:r w:rsidR="009C7A73">
        <w:rPr>
          <w:i/>
          <w:iCs/>
        </w:rPr>
        <w:t>texi</w:t>
      </w:r>
      <w:r w:rsidRPr="00E645B1">
        <w:rPr>
          <w:i/>
          <w:iCs/>
        </w:rPr>
        <w:t>lat</w:t>
      </w:r>
      <w:proofErr w:type="spellEnd"/>
      <w:r w:rsidRPr="00E645B1">
        <w:rPr>
          <w:i/>
          <w:iCs/>
        </w:rPr>
        <w:t xml:space="preserve"> </w:t>
      </w:r>
      <w:proofErr w:type="spellStart"/>
      <w:r w:rsidRPr="00E645B1">
        <w:rPr>
          <w:i/>
          <w:iCs/>
        </w:rPr>
        <w:t>til</w:t>
      </w:r>
      <w:proofErr w:type="spellEnd"/>
      <w:r w:rsidRPr="00E645B1">
        <w:rPr>
          <w:i/>
          <w:iCs/>
        </w:rPr>
        <w:t xml:space="preserve"> et </w:t>
      </w:r>
      <w:proofErr w:type="spellStart"/>
      <w:r w:rsidRPr="00E645B1">
        <w:rPr>
          <w:i/>
          <w:iCs/>
        </w:rPr>
        <w:t>parenteralt</w:t>
      </w:r>
      <w:proofErr w:type="spellEnd"/>
      <w:r w:rsidRPr="00E645B1">
        <w:rPr>
          <w:i/>
          <w:iCs/>
        </w:rPr>
        <w:t xml:space="preserve"> </w:t>
      </w:r>
      <w:proofErr w:type="spellStart"/>
      <w:r w:rsidRPr="00E645B1">
        <w:rPr>
          <w:i/>
          <w:iCs/>
        </w:rPr>
        <w:t>antikoagulant</w:t>
      </w:r>
      <w:proofErr w:type="spellEnd"/>
    </w:p>
    <w:p w14:paraId="5AD3AFAD" w14:textId="77777777" w:rsidR="008659B7" w:rsidRPr="00DB2CE6" w:rsidRDefault="008659B7" w:rsidP="008659B7">
      <w:pPr>
        <w:rPr>
          <w:lang w:val="da-DK"/>
        </w:rPr>
      </w:pPr>
      <w:proofErr w:type="spellStart"/>
      <w:r w:rsidRPr="00E645B1">
        <w:t>Det</w:t>
      </w:r>
      <w:proofErr w:type="spellEnd"/>
      <w:r w:rsidRPr="00E645B1">
        <w:t xml:space="preserve"> </w:t>
      </w:r>
      <w:proofErr w:type="spellStart"/>
      <w:r w:rsidRPr="00E645B1">
        <w:t>anbefales</w:t>
      </w:r>
      <w:proofErr w:type="spellEnd"/>
      <w:r w:rsidRPr="00E645B1">
        <w:t xml:space="preserve"> at </w:t>
      </w:r>
      <w:proofErr w:type="spellStart"/>
      <w:r w:rsidRPr="00E645B1">
        <w:t>vente</w:t>
      </w:r>
      <w:proofErr w:type="spellEnd"/>
      <w:r w:rsidRPr="00E645B1">
        <w:t xml:space="preserve"> 12 </w:t>
      </w:r>
      <w:proofErr w:type="spellStart"/>
      <w:r w:rsidRPr="00E645B1">
        <w:t>timer</w:t>
      </w:r>
      <w:proofErr w:type="spellEnd"/>
      <w:r w:rsidRPr="00E645B1">
        <w:t xml:space="preserve"> </w:t>
      </w:r>
      <w:proofErr w:type="spellStart"/>
      <w:r w:rsidRPr="00E645B1">
        <w:t>efter</w:t>
      </w:r>
      <w:proofErr w:type="spellEnd"/>
      <w:r w:rsidRPr="00E645B1">
        <w:t xml:space="preserve"> den </w:t>
      </w:r>
      <w:proofErr w:type="spellStart"/>
      <w:r w:rsidRPr="00E645B1">
        <w:t>sidste</w:t>
      </w:r>
      <w:proofErr w:type="spellEnd"/>
      <w:r w:rsidRPr="00E645B1">
        <w:t xml:space="preserve"> </w:t>
      </w:r>
      <w:proofErr w:type="spellStart"/>
      <w:r w:rsidRPr="00E645B1">
        <w:t>dosis</w:t>
      </w:r>
      <w:proofErr w:type="spellEnd"/>
      <w:r w:rsidRPr="00E645B1">
        <w:t xml:space="preserve">, </w:t>
      </w:r>
      <w:proofErr w:type="spellStart"/>
      <w:r w:rsidRPr="00E645B1">
        <w:t>før</w:t>
      </w:r>
      <w:proofErr w:type="spellEnd"/>
      <w:r w:rsidRPr="00E645B1">
        <w:t xml:space="preserve"> der </w:t>
      </w:r>
      <w:proofErr w:type="spellStart"/>
      <w:r w:rsidRPr="00E645B1">
        <w:t>skiftes</w:t>
      </w:r>
      <w:proofErr w:type="spellEnd"/>
      <w:r w:rsidRPr="00E645B1">
        <w:t xml:space="preserve"> </w:t>
      </w:r>
      <w:proofErr w:type="spellStart"/>
      <w:r w:rsidRPr="00E645B1">
        <w:t>fra</w:t>
      </w:r>
      <w:proofErr w:type="spellEnd"/>
      <w:r w:rsidRPr="00E645B1">
        <w:t xml:space="preserve"> </w:t>
      </w:r>
      <w:proofErr w:type="spellStart"/>
      <w:r w:rsidRPr="00E645B1">
        <w:t>dabigatranetexilat</w:t>
      </w:r>
      <w:proofErr w:type="spellEnd"/>
      <w:r w:rsidRPr="00E645B1">
        <w:t xml:space="preserve"> </w:t>
      </w:r>
      <w:proofErr w:type="spellStart"/>
      <w:r w:rsidRPr="00E645B1">
        <w:t>til</w:t>
      </w:r>
      <w:proofErr w:type="spellEnd"/>
      <w:r w:rsidRPr="00E645B1">
        <w:t xml:space="preserve"> </w:t>
      </w:r>
      <w:proofErr w:type="spellStart"/>
      <w:r w:rsidRPr="00E645B1">
        <w:t>parenteralt</w:t>
      </w:r>
      <w:proofErr w:type="spellEnd"/>
      <w:r w:rsidRPr="00E645B1">
        <w:t xml:space="preserve"> </w:t>
      </w:r>
      <w:proofErr w:type="spellStart"/>
      <w:r w:rsidRPr="00E645B1">
        <w:t>antikoagulantia</w:t>
      </w:r>
      <w:proofErr w:type="spellEnd"/>
      <w:r w:rsidRPr="00E645B1">
        <w:t>.</w:t>
      </w:r>
    </w:p>
    <w:p w14:paraId="4D576E80" w14:textId="77777777" w:rsidR="008659B7" w:rsidRPr="00DB2CE6" w:rsidRDefault="008659B7" w:rsidP="008659B7">
      <w:pPr>
        <w:rPr>
          <w:i/>
          <w:iCs/>
          <w:lang w:val="da-DK"/>
        </w:rPr>
      </w:pPr>
    </w:p>
    <w:p w14:paraId="06077976" w14:textId="2F904943" w:rsidR="008659B7" w:rsidRPr="00DB2CE6" w:rsidRDefault="008659B7" w:rsidP="008659B7">
      <w:pPr>
        <w:rPr>
          <w:i/>
          <w:iCs/>
          <w:lang w:val="da-DK"/>
        </w:rPr>
      </w:pPr>
      <w:proofErr w:type="spellStart"/>
      <w:r w:rsidRPr="00E645B1">
        <w:rPr>
          <w:i/>
          <w:iCs/>
        </w:rPr>
        <w:t>Fra</w:t>
      </w:r>
      <w:proofErr w:type="spellEnd"/>
      <w:r w:rsidRPr="00E645B1">
        <w:rPr>
          <w:i/>
          <w:iCs/>
        </w:rPr>
        <w:t xml:space="preserve"> et </w:t>
      </w:r>
      <w:proofErr w:type="spellStart"/>
      <w:r w:rsidRPr="00E645B1">
        <w:rPr>
          <w:i/>
          <w:iCs/>
        </w:rPr>
        <w:t>parenteralt</w:t>
      </w:r>
      <w:proofErr w:type="spellEnd"/>
      <w:r w:rsidRPr="00E645B1">
        <w:rPr>
          <w:i/>
          <w:iCs/>
        </w:rPr>
        <w:t xml:space="preserve"> </w:t>
      </w:r>
      <w:proofErr w:type="spellStart"/>
      <w:r w:rsidRPr="00E645B1">
        <w:rPr>
          <w:i/>
          <w:iCs/>
        </w:rPr>
        <w:t>antikoagulant</w:t>
      </w:r>
      <w:proofErr w:type="spellEnd"/>
      <w:r w:rsidRPr="00E645B1">
        <w:rPr>
          <w:i/>
          <w:iCs/>
        </w:rPr>
        <w:t xml:space="preserve"> </w:t>
      </w:r>
      <w:proofErr w:type="spellStart"/>
      <w:r w:rsidRPr="00E645B1">
        <w:rPr>
          <w:i/>
          <w:iCs/>
        </w:rPr>
        <w:t>til</w:t>
      </w:r>
      <w:proofErr w:type="spellEnd"/>
      <w:r w:rsidRPr="00E645B1">
        <w:rPr>
          <w:i/>
          <w:iCs/>
        </w:rPr>
        <w:t xml:space="preserve"> </w:t>
      </w:r>
      <w:proofErr w:type="spellStart"/>
      <w:r w:rsidRPr="00E645B1">
        <w:rPr>
          <w:i/>
          <w:iCs/>
        </w:rPr>
        <w:t>dabigatranetexilat</w:t>
      </w:r>
      <w:proofErr w:type="spellEnd"/>
    </w:p>
    <w:p w14:paraId="67CB4FC6" w14:textId="77777777" w:rsidR="008659B7" w:rsidRPr="00DB2CE6" w:rsidRDefault="008659B7" w:rsidP="008659B7">
      <w:pPr>
        <w:rPr>
          <w:lang w:val="da-DK"/>
        </w:rPr>
      </w:pPr>
      <w:r w:rsidRPr="00E645B1">
        <w:t xml:space="preserve">Parenteral antikoagulation bør seponeres. Dabigatranetexilat bør gives 0 til 2 timer før næste planlagte anvendelse af alternativet eller på seponeringstidspunktet i tilfælde af igangværende behandling (f.eks. </w:t>
      </w:r>
      <w:proofErr w:type="spellStart"/>
      <w:r w:rsidRPr="00E645B1">
        <w:t>intravenøs</w:t>
      </w:r>
      <w:proofErr w:type="spellEnd"/>
      <w:r w:rsidRPr="00E645B1">
        <w:t xml:space="preserve"> </w:t>
      </w:r>
      <w:proofErr w:type="spellStart"/>
      <w:r w:rsidRPr="00E645B1">
        <w:t>behandling</w:t>
      </w:r>
      <w:proofErr w:type="spellEnd"/>
      <w:r w:rsidRPr="00E645B1">
        <w:t xml:space="preserve"> med </w:t>
      </w:r>
      <w:proofErr w:type="spellStart"/>
      <w:r w:rsidRPr="00E645B1">
        <w:t>ufraktioneret</w:t>
      </w:r>
      <w:proofErr w:type="spellEnd"/>
      <w:r w:rsidRPr="00E645B1">
        <w:t xml:space="preserve"> </w:t>
      </w:r>
      <w:proofErr w:type="spellStart"/>
      <w:r w:rsidRPr="00E645B1">
        <w:t>heparin</w:t>
      </w:r>
      <w:proofErr w:type="spellEnd"/>
      <w:r w:rsidRPr="00E645B1">
        <w:t>).</w:t>
      </w:r>
    </w:p>
    <w:p w14:paraId="0CF6763B" w14:textId="77777777" w:rsidR="008659B7" w:rsidRPr="00DB2CE6" w:rsidRDefault="008659B7" w:rsidP="008659B7">
      <w:pPr>
        <w:rPr>
          <w:lang w:val="da-DK"/>
        </w:rPr>
      </w:pPr>
    </w:p>
    <w:p w14:paraId="7DC049B3" w14:textId="317DB968" w:rsidR="008659B7" w:rsidRPr="00DB2CE6" w:rsidRDefault="008659B7" w:rsidP="008659B7">
      <w:pPr>
        <w:rPr>
          <w:i/>
          <w:iCs/>
          <w:lang w:val="da-DK"/>
        </w:rPr>
      </w:pPr>
      <w:proofErr w:type="spellStart"/>
      <w:r w:rsidRPr="00E645B1">
        <w:rPr>
          <w:i/>
          <w:iCs/>
        </w:rPr>
        <w:t>Fra</w:t>
      </w:r>
      <w:proofErr w:type="spellEnd"/>
      <w:r w:rsidRPr="00E645B1">
        <w:rPr>
          <w:i/>
          <w:iCs/>
        </w:rPr>
        <w:t xml:space="preserve"> </w:t>
      </w:r>
      <w:proofErr w:type="spellStart"/>
      <w:proofErr w:type="gramStart"/>
      <w:r w:rsidRPr="00E645B1">
        <w:rPr>
          <w:i/>
          <w:iCs/>
        </w:rPr>
        <w:t>dabigatranet</w:t>
      </w:r>
      <w:r w:rsidR="00866D6D">
        <w:rPr>
          <w:i/>
          <w:iCs/>
        </w:rPr>
        <w:t>exilat</w:t>
      </w:r>
      <w:proofErr w:type="spellEnd"/>
      <w:r w:rsidRPr="00E645B1">
        <w:rPr>
          <w:i/>
          <w:iCs/>
        </w:rPr>
        <w:t xml:space="preserve">  </w:t>
      </w:r>
      <w:proofErr w:type="spellStart"/>
      <w:r w:rsidRPr="00E645B1">
        <w:rPr>
          <w:i/>
          <w:iCs/>
        </w:rPr>
        <w:t>til</w:t>
      </w:r>
      <w:proofErr w:type="spellEnd"/>
      <w:proofErr w:type="gramEnd"/>
      <w:r w:rsidRPr="00E645B1">
        <w:rPr>
          <w:i/>
          <w:iCs/>
        </w:rPr>
        <w:t xml:space="preserve"> </w:t>
      </w:r>
      <w:proofErr w:type="spellStart"/>
      <w:r w:rsidRPr="00E645B1">
        <w:rPr>
          <w:i/>
          <w:iCs/>
        </w:rPr>
        <w:t>vitamin</w:t>
      </w:r>
      <w:proofErr w:type="spellEnd"/>
      <w:r w:rsidRPr="00E645B1">
        <w:rPr>
          <w:i/>
          <w:iCs/>
        </w:rPr>
        <w:t xml:space="preserve"> K </w:t>
      </w:r>
      <w:proofErr w:type="spellStart"/>
      <w:r w:rsidRPr="00E645B1">
        <w:rPr>
          <w:i/>
          <w:iCs/>
        </w:rPr>
        <w:t>antagonister</w:t>
      </w:r>
      <w:proofErr w:type="spellEnd"/>
    </w:p>
    <w:p w14:paraId="54D85202" w14:textId="77777777" w:rsidR="008659B7" w:rsidRPr="00DB2CE6" w:rsidRDefault="008659B7" w:rsidP="008659B7">
      <w:pPr>
        <w:rPr>
          <w:lang w:val="da-DK"/>
        </w:rPr>
      </w:pPr>
      <w:r w:rsidRPr="00E645B1">
        <w:t xml:space="preserve">Starten </w:t>
      </w:r>
      <w:proofErr w:type="spellStart"/>
      <w:r w:rsidRPr="00E645B1">
        <w:t>af</w:t>
      </w:r>
      <w:proofErr w:type="spellEnd"/>
      <w:r w:rsidRPr="00E645B1">
        <w:t xml:space="preserve"> </w:t>
      </w:r>
      <w:proofErr w:type="spellStart"/>
      <w:r w:rsidRPr="00E645B1">
        <w:t>behandlingen</w:t>
      </w:r>
      <w:proofErr w:type="spellEnd"/>
      <w:r w:rsidRPr="00E645B1">
        <w:t xml:space="preserve"> med </w:t>
      </w:r>
      <w:proofErr w:type="spellStart"/>
      <w:r w:rsidRPr="00E645B1">
        <w:t>vitamin</w:t>
      </w:r>
      <w:proofErr w:type="spellEnd"/>
      <w:r w:rsidRPr="00E645B1">
        <w:t xml:space="preserve"> K-</w:t>
      </w:r>
      <w:proofErr w:type="spellStart"/>
      <w:r w:rsidRPr="00E645B1">
        <w:t>antagonister</w:t>
      </w:r>
      <w:proofErr w:type="spellEnd"/>
      <w:r w:rsidRPr="00E645B1">
        <w:t xml:space="preserve"> </w:t>
      </w:r>
      <w:proofErr w:type="spellStart"/>
      <w:r w:rsidRPr="00E645B1">
        <w:t>bestemmes</w:t>
      </w:r>
      <w:proofErr w:type="spellEnd"/>
      <w:r w:rsidRPr="00E645B1">
        <w:t xml:space="preserve"> </w:t>
      </w:r>
      <w:proofErr w:type="spellStart"/>
      <w:r w:rsidRPr="00E645B1">
        <w:t>ud</w:t>
      </w:r>
      <w:proofErr w:type="spellEnd"/>
      <w:r w:rsidRPr="00E645B1">
        <w:t xml:space="preserve"> </w:t>
      </w:r>
      <w:proofErr w:type="spellStart"/>
      <w:r w:rsidRPr="00E645B1">
        <w:t>fra</w:t>
      </w:r>
      <w:proofErr w:type="spellEnd"/>
      <w:r w:rsidRPr="00E645B1">
        <w:t xml:space="preserve"> </w:t>
      </w:r>
      <w:proofErr w:type="spellStart"/>
      <w:r w:rsidRPr="00E645B1">
        <w:t>CrCl</w:t>
      </w:r>
      <w:proofErr w:type="spellEnd"/>
      <w:r w:rsidRPr="00E645B1">
        <w:t>:</w:t>
      </w:r>
    </w:p>
    <w:p w14:paraId="09CF0BD8" w14:textId="2E78F8B5" w:rsidR="008659B7" w:rsidRPr="00DB2CE6" w:rsidRDefault="008659B7" w:rsidP="008659B7">
      <w:pPr>
        <w:rPr>
          <w:lang w:val="da-DK"/>
        </w:rPr>
      </w:pPr>
      <w:r w:rsidRPr="00E645B1">
        <w:t xml:space="preserve">• CrCl ≥ 50 ml/min: Start </w:t>
      </w:r>
      <w:proofErr w:type="spellStart"/>
      <w:r w:rsidRPr="00E645B1">
        <w:t>af</w:t>
      </w:r>
      <w:proofErr w:type="spellEnd"/>
      <w:r w:rsidRPr="00E645B1">
        <w:t xml:space="preserve"> </w:t>
      </w:r>
      <w:proofErr w:type="spellStart"/>
      <w:r w:rsidRPr="00E645B1">
        <w:t>behandling</w:t>
      </w:r>
      <w:proofErr w:type="spellEnd"/>
      <w:r w:rsidRPr="00E645B1">
        <w:t xml:space="preserve"> med </w:t>
      </w:r>
      <w:proofErr w:type="spellStart"/>
      <w:r w:rsidRPr="00E645B1">
        <w:t>vitamin</w:t>
      </w:r>
      <w:proofErr w:type="spellEnd"/>
      <w:r w:rsidRPr="00E645B1">
        <w:t xml:space="preserve"> K-</w:t>
      </w:r>
      <w:proofErr w:type="spellStart"/>
      <w:r w:rsidRPr="00E645B1">
        <w:t>antagonister</w:t>
      </w:r>
      <w:proofErr w:type="spellEnd"/>
      <w:r w:rsidRPr="00E645B1">
        <w:t xml:space="preserve"> 3 </w:t>
      </w:r>
      <w:proofErr w:type="spellStart"/>
      <w:r w:rsidRPr="00E645B1">
        <w:t>dage</w:t>
      </w:r>
      <w:proofErr w:type="spellEnd"/>
      <w:r w:rsidRPr="00E645B1">
        <w:t xml:space="preserve"> </w:t>
      </w:r>
      <w:proofErr w:type="spellStart"/>
      <w:r w:rsidRPr="00E645B1">
        <w:t>før</w:t>
      </w:r>
      <w:proofErr w:type="spellEnd"/>
      <w:r w:rsidRPr="00E645B1">
        <w:t xml:space="preserve"> </w:t>
      </w:r>
      <w:proofErr w:type="spellStart"/>
      <w:r w:rsidRPr="00E645B1">
        <w:t>endt</w:t>
      </w:r>
      <w:proofErr w:type="spellEnd"/>
      <w:r w:rsidRPr="00E645B1">
        <w:t xml:space="preserve"> </w:t>
      </w:r>
      <w:proofErr w:type="spellStart"/>
      <w:r w:rsidRPr="00E645B1">
        <w:t>behandling</w:t>
      </w:r>
      <w:proofErr w:type="spellEnd"/>
      <w:r w:rsidRPr="00E645B1">
        <w:t xml:space="preserve"> med </w:t>
      </w:r>
      <w:proofErr w:type="spellStart"/>
      <w:r w:rsidRPr="00E645B1">
        <w:t>dabigatranetexilat</w:t>
      </w:r>
      <w:proofErr w:type="spellEnd"/>
    </w:p>
    <w:p w14:paraId="67060D45" w14:textId="42E787E2" w:rsidR="008659B7" w:rsidRPr="00DB2CE6" w:rsidRDefault="008659B7" w:rsidP="008659B7">
      <w:pPr>
        <w:rPr>
          <w:lang w:val="da-DK"/>
        </w:rPr>
      </w:pPr>
      <w:r w:rsidRPr="00E645B1">
        <w:t xml:space="preserve">• CrCl ≥ 30 til &lt; 50 ml/min: Start </w:t>
      </w:r>
      <w:proofErr w:type="spellStart"/>
      <w:r w:rsidRPr="00E645B1">
        <w:t>af</w:t>
      </w:r>
      <w:proofErr w:type="spellEnd"/>
      <w:r w:rsidRPr="00E645B1">
        <w:t xml:space="preserve"> </w:t>
      </w:r>
      <w:proofErr w:type="spellStart"/>
      <w:r w:rsidRPr="00E645B1">
        <w:t>behandling</w:t>
      </w:r>
      <w:proofErr w:type="spellEnd"/>
      <w:r w:rsidRPr="00E645B1">
        <w:t xml:space="preserve"> med </w:t>
      </w:r>
      <w:proofErr w:type="spellStart"/>
      <w:r w:rsidRPr="00E645B1">
        <w:t>vitamin</w:t>
      </w:r>
      <w:proofErr w:type="spellEnd"/>
      <w:r w:rsidRPr="00E645B1">
        <w:t xml:space="preserve"> K-</w:t>
      </w:r>
      <w:proofErr w:type="spellStart"/>
      <w:r w:rsidRPr="00E645B1">
        <w:t>antagonister</w:t>
      </w:r>
      <w:proofErr w:type="spellEnd"/>
      <w:r w:rsidRPr="00E645B1">
        <w:t xml:space="preserve"> 2 </w:t>
      </w:r>
      <w:proofErr w:type="spellStart"/>
      <w:r w:rsidRPr="00E645B1">
        <w:t>dage</w:t>
      </w:r>
      <w:proofErr w:type="spellEnd"/>
      <w:r w:rsidRPr="00E645B1">
        <w:t xml:space="preserve"> </w:t>
      </w:r>
      <w:proofErr w:type="spellStart"/>
      <w:r w:rsidRPr="00E645B1">
        <w:t>før</w:t>
      </w:r>
      <w:proofErr w:type="spellEnd"/>
      <w:r w:rsidRPr="00E645B1">
        <w:t xml:space="preserve"> </w:t>
      </w:r>
      <w:proofErr w:type="spellStart"/>
      <w:r w:rsidRPr="00E645B1">
        <w:t>endt</w:t>
      </w:r>
      <w:proofErr w:type="spellEnd"/>
      <w:r w:rsidRPr="00E645B1">
        <w:t xml:space="preserve"> </w:t>
      </w:r>
      <w:proofErr w:type="spellStart"/>
      <w:r w:rsidRPr="00E645B1">
        <w:t>behandling</w:t>
      </w:r>
      <w:proofErr w:type="spellEnd"/>
      <w:r w:rsidRPr="00E645B1">
        <w:t xml:space="preserve"> med </w:t>
      </w:r>
      <w:proofErr w:type="spellStart"/>
      <w:r w:rsidRPr="00E645B1">
        <w:t>dabigatranetexilat</w:t>
      </w:r>
      <w:proofErr w:type="spellEnd"/>
    </w:p>
    <w:p w14:paraId="6E380BEC" w14:textId="163969DC" w:rsidR="008659B7" w:rsidRPr="00DB2CE6" w:rsidRDefault="008659B7" w:rsidP="008659B7">
      <w:pPr>
        <w:rPr>
          <w:lang w:val="da-DK"/>
        </w:rPr>
      </w:pPr>
      <w:r w:rsidRPr="00E645B1">
        <w:lastRenderedPageBreak/>
        <w:t xml:space="preserve">Da dabigatranetexilat kan føre til forhøjede INR-niveauer, vil effekten af vitamin K-antagonisten i INR-testen kun være tydelig, hvis testen udføres tidligst to dage efter seponering af dabigatranetexilatbehandling. </w:t>
      </w:r>
      <w:proofErr w:type="spellStart"/>
      <w:r w:rsidRPr="00E645B1">
        <w:t>Indtil</w:t>
      </w:r>
      <w:proofErr w:type="spellEnd"/>
      <w:r w:rsidRPr="00E645B1">
        <w:t xml:space="preserve"> da </w:t>
      </w:r>
      <w:proofErr w:type="spellStart"/>
      <w:r w:rsidRPr="00E645B1">
        <w:t>skal</w:t>
      </w:r>
      <w:proofErr w:type="spellEnd"/>
      <w:r w:rsidRPr="00E645B1">
        <w:t xml:space="preserve"> INR-</w:t>
      </w:r>
      <w:proofErr w:type="spellStart"/>
      <w:r w:rsidRPr="00E645B1">
        <w:t>værdier</w:t>
      </w:r>
      <w:proofErr w:type="spellEnd"/>
      <w:r w:rsidRPr="00E645B1">
        <w:t xml:space="preserve"> </w:t>
      </w:r>
      <w:proofErr w:type="spellStart"/>
      <w:r w:rsidRPr="00E645B1">
        <w:t>fortolkes</w:t>
      </w:r>
      <w:proofErr w:type="spellEnd"/>
      <w:r w:rsidRPr="00E645B1">
        <w:t xml:space="preserve"> med </w:t>
      </w:r>
      <w:proofErr w:type="spellStart"/>
      <w:r w:rsidRPr="00E645B1">
        <w:t>forsigtighed</w:t>
      </w:r>
      <w:proofErr w:type="spellEnd"/>
      <w:r w:rsidRPr="00E645B1">
        <w:t>.</w:t>
      </w:r>
    </w:p>
    <w:p w14:paraId="5A55D10E" w14:textId="77777777" w:rsidR="008659B7" w:rsidRPr="00DB2CE6" w:rsidRDefault="008659B7" w:rsidP="008659B7">
      <w:pPr>
        <w:rPr>
          <w:lang w:val="da-DK"/>
        </w:rPr>
      </w:pPr>
    </w:p>
    <w:p w14:paraId="772E403C" w14:textId="3A2173EF" w:rsidR="008659B7" w:rsidRPr="00DB2CE6" w:rsidRDefault="008659B7" w:rsidP="008659B7">
      <w:pPr>
        <w:rPr>
          <w:i/>
          <w:iCs/>
          <w:lang w:val="da-DK"/>
        </w:rPr>
      </w:pPr>
      <w:proofErr w:type="spellStart"/>
      <w:r w:rsidRPr="00E645B1">
        <w:rPr>
          <w:i/>
          <w:iCs/>
        </w:rPr>
        <w:t>Fra</w:t>
      </w:r>
      <w:proofErr w:type="spellEnd"/>
      <w:r w:rsidRPr="00E645B1">
        <w:rPr>
          <w:i/>
          <w:iCs/>
        </w:rPr>
        <w:t xml:space="preserve"> </w:t>
      </w:r>
      <w:proofErr w:type="spellStart"/>
      <w:r w:rsidRPr="00E645B1">
        <w:rPr>
          <w:i/>
          <w:iCs/>
        </w:rPr>
        <w:t>vitamin</w:t>
      </w:r>
      <w:proofErr w:type="spellEnd"/>
      <w:r w:rsidRPr="00E645B1">
        <w:rPr>
          <w:i/>
          <w:iCs/>
        </w:rPr>
        <w:t xml:space="preserve"> K-</w:t>
      </w:r>
      <w:proofErr w:type="spellStart"/>
      <w:r w:rsidRPr="00E645B1">
        <w:rPr>
          <w:i/>
          <w:iCs/>
        </w:rPr>
        <w:t>antagonister</w:t>
      </w:r>
      <w:proofErr w:type="spellEnd"/>
      <w:r w:rsidRPr="00E645B1">
        <w:rPr>
          <w:i/>
          <w:iCs/>
        </w:rPr>
        <w:t xml:space="preserve"> </w:t>
      </w:r>
      <w:proofErr w:type="spellStart"/>
      <w:r w:rsidRPr="00E645B1">
        <w:rPr>
          <w:i/>
          <w:iCs/>
        </w:rPr>
        <w:t>til</w:t>
      </w:r>
      <w:proofErr w:type="spellEnd"/>
      <w:r w:rsidRPr="00E645B1">
        <w:rPr>
          <w:i/>
          <w:iCs/>
        </w:rPr>
        <w:t xml:space="preserve"> </w:t>
      </w:r>
      <w:proofErr w:type="spellStart"/>
      <w:r w:rsidRPr="00E645B1">
        <w:rPr>
          <w:i/>
          <w:iCs/>
        </w:rPr>
        <w:t>dabigatrane</w:t>
      </w:r>
      <w:r w:rsidR="00866D6D">
        <w:rPr>
          <w:i/>
          <w:iCs/>
        </w:rPr>
        <w:t>texilat</w:t>
      </w:r>
      <w:proofErr w:type="spellEnd"/>
      <w:r w:rsidRPr="00E645B1">
        <w:rPr>
          <w:i/>
          <w:iCs/>
        </w:rPr>
        <w:t xml:space="preserve"> </w:t>
      </w:r>
    </w:p>
    <w:p w14:paraId="46CEAD1E" w14:textId="44634664" w:rsidR="00755DD1" w:rsidRPr="00DB2CE6" w:rsidRDefault="008659B7" w:rsidP="008659B7">
      <w:pPr>
        <w:rPr>
          <w:lang w:val="da-DK"/>
        </w:rPr>
      </w:pPr>
      <w:r w:rsidRPr="00E645B1">
        <w:t xml:space="preserve">Behandling med vitamin K-antagonister bør seponeres. </w:t>
      </w:r>
      <w:proofErr w:type="spellStart"/>
      <w:r w:rsidRPr="00E645B1">
        <w:t>Dabigatranetexilat</w:t>
      </w:r>
      <w:proofErr w:type="spellEnd"/>
      <w:r w:rsidRPr="00E645B1">
        <w:t xml:space="preserve"> </w:t>
      </w:r>
      <w:proofErr w:type="spellStart"/>
      <w:r w:rsidRPr="00E645B1">
        <w:t>kan</w:t>
      </w:r>
      <w:proofErr w:type="spellEnd"/>
      <w:r w:rsidRPr="00E645B1">
        <w:t xml:space="preserve"> </w:t>
      </w:r>
      <w:proofErr w:type="spellStart"/>
      <w:r w:rsidRPr="00E645B1">
        <w:t>anvendes</w:t>
      </w:r>
      <w:proofErr w:type="spellEnd"/>
      <w:r w:rsidRPr="00E645B1">
        <w:t xml:space="preserve">, </w:t>
      </w:r>
      <w:proofErr w:type="spellStart"/>
      <w:r w:rsidRPr="00E645B1">
        <w:t>så</w:t>
      </w:r>
      <w:proofErr w:type="spellEnd"/>
      <w:r w:rsidRPr="00E645B1">
        <w:t xml:space="preserve"> </w:t>
      </w:r>
      <w:proofErr w:type="spellStart"/>
      <w:r w:rsidRPr="00E645B1">
        <w:t>snart</w:t>
      </w:r>
      <w:proofErr w:type="spellEnd"/>
      <w:r w:rsidRPr="00E645B1">
        <w:t xml:space="preserve"> INR-</w:t>
      </w:r>
      <w:proofErr w:type="spellStart"/>
      <w:r w:rsidRPr="00E645B1">
        <w:t>værdien</w:t>
      </w:r>
      <w:proofErr w:type="spellEnd"/>
      <w:r w:rsidRPr="00E645B1">
        <w:t xml:space="preserve"> er &lt; 2,0.</w:t>
      </w:r>
    </w:p>
    <w:p w14:paraId="4590454E" w14:textId="2941E89E" w:rsidR="00755DD1" w:rsidRPr="00DB2CE6" w:rsidRDefault="00755DD1" w:rsidP="00C52B21">
      <w:pPr>
        <w:rPr>
          <w:lang w:val="da-DK"/>
        </w:rPr>
      </w:pPr>
    </w:p>
    <w:p w14:paraId="6085C9C4" w14:textId="079A5247" w:rsidR="008659B7" w:rsidRPr="00DB2CE6" w:rsidRDefault="008659B7" w:rsidP="00C52B21">
      <w:pPr>
        <w:rPr>
          <w:lang w:val="da-DK"/>
        </w:rPr>
      </w:pPr>
    </w:p>
    <w:p w14:paraId="32BDB260" w14:textId="77777777" w:rsidR="008659B7" w:rsidRPr="00DB2CE6" w:rsidRDefault="008659B7" w:rsidP="008659B7">
      <w:pPr>
        <w:rPr>
          <w:b/>
          <w:bCs/>
          <w:lang w:val="da-DK"/>
        </w:rPr>
      </w:pPr>
      <w:r w:rsidRPr="00E645B1">
        <w:rPr>
          <w:b/>
          <w:bCs/>
        </w:rPr>
        <w:t>Kardioversion (SPAF)</w:t>
      </w:r>
    </w:p>
    <w:p w14:paraId="3270E4B1" w14:textId="77777777" w:rsidR="008659B7" w:rsidRPr="00DB2CE6" w:rsidRDefault="008659B7" w:rsidP="008659B7">
      <w:pPr>
        <w:rPr>
          <w:lang w:val="da-DK"/>
        </w:rPr>
      </w:pPr>
      <w:proofErr w:type="spellStart"/>
      <w:r w:rsidRPr="00E645B1">
        <w:t>Dabigatranetexilat</w:t>
      </w:r>
      <w:proofErr w:type="spellEnd"/>
      <w:r w:rsidRPr="00E645B1">
        <w:t xml:space="preserve"> </w:t>
      </w:r>
      <w:proofErr w:type="spellStart"/>
      <w:r w:rsidRPr="00E645B1">
        <w:t>kan</w:t>
      </w:r>
      <w:proofErr w:type="spellEnd"/>
      <w:r w:rsidRPr="00E645B1">
        <w:t xml:space="preserve"> </w:t>
      </w:r>
      <w:proofErr w:type="spellStart"/>
      <w:r w:rsidRPr="00E645B1">
        <w:t>fortsat</w:t>
      </w:r>
      <w:proofErr w:type="spellEnd"/>
      <w:r w:rsidRPr="00E645B1">
        <w:t xml:space="preserve"> </w:t>
      </w:r>
      <w:proofErr w:type="spellStart"/>
      <w:r w:rsidRPr="00E645B1">
        <w:t>anvendes</w:t>
      </w:r>
      <w:proofErr w:type="spellEnd"/>
      <w:r w:rsidRPr="00E645B1">
        <w:t xml:space="preserve"> </w:t>
      </w:r>
      <w:proofErr w:type="spellStart"/>
      <w:r w:rsidRPr="00E645B1">
        <w:t>til</w:t>
      </w:r>
      <w:proofErr w:type="spellEnd"/>
      <w:r w:rsidRPr="00E645B1">
        <w:t xml:space="preserve"> </w:t>
      </w:r>
      <w:proofErr w:type="spellStart"/>
      <w:r w:rsidRPr="00E645B1">
        <w:t>patienter</w:t>
      </w:r>
      <w:proofErr w:type="spellEnd"/>
      <w:r w:rsidRPr="00E645B1">
        <w:t xml:space="preserve"> med </w:t>
      </w:r>
      <w:proofErr w:type="spellStart"/>
      <w:r w:rsidRPr="00E645B1">
        <w:t>atrieflimren</w:t>
      </w:r>
      <w:proofErr w:type="spellEnd"/>
      <w:r w:rsidRPr="00E645B1">
        <w:t xml:space="preserve"> </w:t>
      </w:r>
      <w:proofErr w:type="spellStart"/>
      <w:r w:rsidRPr="00E645B1">
        <w:t>uden</w:t>
      </w:r>
      <w:proofErr w:type="spellEnd"/>
      <w:r w:rsidRPr="00E645B1">
        <w:t xml:space="preserve"> </w:t>
      </w:r>
      <w:proofErr w:type="spellStart"/>
      <w:r w:rsidRPr="00E645B1">
        <w:t>valvulær</w:t>
      </w:r>
      <w:proofErr w:type="spellEnd"/>
      <w:r w:rsidRPr="00E645B1">
        <w:t xml:space="preserve"> </w:t>
      </w:r>
      <w:proofErr w:type="spellStart"/>
      <w:r w:rsidRPr="00E645B1">
        <w:t>atrieflimren</w:t>
      </w:r>
      <w:proofErr w:type="spellEnd"/>
      <w:r w:rsidRPr="00E645B1">
        <w:t xml:space="preserve"> </w:t>
      </w:r>
      <w:proofErr w:type="spellStart"/>
      <w:r w:rsidRPr="00E645B1">
        <w:t>til</w:t>
      </w:r>
      <w:proofErr w:type="spellEnd"/>
      <w:r w:rsidRPr="00E645B1">
        <w:t xml:space="preserve"> </w:t>
      </w:r>
      <w:proofErr w:type="spellStart"/>
      <w:r w:rsidRPr="00E645B1">
        <w:t>forebyggelse</w:t>
      </w:r>
      <w:proofErr w:type="spellEnd"/>
      <w:r w:rsidRPr="00E645B1">
        <w:t xml:space="preserve"> </w:t>
      </w:r>
      <w:proofErr w:type="spellStart"/>
      <w:r w:rsidRPr="00E645B1">
        <w:t>af</w:t>
      </w:r>
      <w:proofErr w:type="spellEnd"/>
      <w:r w:rsidRPr="00E645B1">
        <w:t xml:space="preserve"> </w:t>
      </w:r>
      <w:proofErr w:type="spellStart"/>
      <w:r w:rsidRPr="00E645B1">
        <w:t>slagtilfælde</w:t>
      </w:r>
      <w:proofErr w:type="spellEnd"/>
      <w:r w:rsidRPr="00E645B1">
        <w:t xml:space="preserve"> </w:t>
      </w:r>
      <w:proofErr w:type="spellStart"/>
      <w:r w:rsidRPr="00E645B1">
        <w:t>og</w:t>
      </w:r>
      <w:proofErr w:type="spellEnd"/>
      <w:r w:rsidRPr="00E645B1">
        <w:t xml:space="preserve"> </w:t>
      </w:r>
      <w:proofErr w:type="spellStart"/>
      <w:r w:rsidRPr="00E645B1">
        <w:t>systemisk</w:t>
      </w:r>
      <w:proofErr w:type="spellEnd"/>
      <w:r w:rsidRPr="00E645B1">
        <w:t xml:space="preserve"> </w:t>
      </w:r>
      <w:proofErr w:type="spellStart"/>
      <w:r w:rsidRPr="00E645B1">
        <w:t>emboli</w:t>
      </w:r>
      <w:proofErr w:type="spellEnd"/>
      <w:r w:rsidRPr="00E645B1">
        <w:t xml:space="preserve"> i </w:t>
      </w:r>
      <w:proofErr w:type="spellStart"/>
      <w:r w:rsidRPr="00E645B1">
        <w:t>forbindelse</w:t>
      </w:r>
      <w:proofErr w:type="spellEnd"/>
      <w:r w:rsidRPr="00E645B1">
        <w:t xml:space="preserve"> med </w:t>
      </w:r>
      <w:proofErr w:type="spellStart"/>
      <w:r w:rsidRPr="00E645B1">
        <w:t>kardioversion</w:t>
      </w:r>
      <w:proofErr w:type="spellEnd"/>
      <w:r w:rsidRPr="00E645B1">
        <w:t>.</w:t>
      </w:r>
    </w:p>
    <w:p w14:paraId="640CD9B3" w14:textId="77777777" w:rsidR="00667F69" w:rsidRPr="00DB2CE6" w:rsidRDefault="00667F69" w:rsidP="008659B7">
      <w:pPr>
        <w:rPr>
          <w:lang w:val="da-DK"/>
        </w:rPr>
      </w:pPr>
    </w:p>
    <w:p w14:paraId="30022FA5" w14:textId="3DB501A5" w:rsidR="008659B7" w:rsidRPr="00DB2CE6" w:rsidRDefault="008659B7" w:rsidP="008659B7">
      <w:pPr>
        <w:rPr>
          <w:b/>
          <w:bCs/>
          <w:lang w:val="da-DK"/>
        </w:rPr>
      </w:pPr>
      <w:r w:rsidRPr="00E645B1">
        <w:rPr>
          <w:b/>
          <w:bCs/>
        </w:rPr>
        <w:t>Kateterablation af atrieflimren (SPAF)</w:t>
      </w:r>
    </w:p>
    <w:p w14:paraId="5EEAA282" w14:textId="480D8EA8" w:rsidR="008659B7" w:rsidRPr="00DB2CE6" w:rsidRDefault="008659B7" w:rsidP="008659B7">
      <w:pPr>
        <w:rPr>
          <w:lang w:val="da-DK"/>
        </w:rPr>
      </w:pPr>
      <w:r w:rsidRPr="00E645B1">
        <w:t xml:space="preserve">Kateterablation kan udføres hos patienter under behandling med dabigatranetexilat 150 mg to gange dagligt. Det er ikke nødvendigt at afbryde behandlingen med dabigatranetexilat. Der </w:t>
      </w:r>
      <w:proofErr w:type="spellStart"/>
      <w:r w:rsidRPr="00E645B1">
        <w:t>foreligger</w:t>
      </w:r>
      <w:proofErr w:type="spellEnd"/>
      <w:r w:rsidRPr="00E645B1">
        <w:t xml:space="preserve"> </w:t>
      </w:r>
      <w:proofErr w:type="spellStart"/>
      <w:r w:rsidRPr="00E645B1">
        <w:t>ingen</w:t>
      </w:r>
      <w:proofErr w:type="spellEnd"/>
      <w:r w:rsidRPr="00E645B1">
        <w:t xml:space="preserve"> </w:t>
      </w:r>
      <w:proofErr w:type="spellStart"/>
      <w:r w:rsidRPr="00E645B1">
        <w:t>data</w:t>
      </w:r>
      <w:proofErr w:type="spellEnd"/>
      <w:r w:rsidRPr="00E645B1">
        <w:t xml:space="preserve"> </w:t>
      </w:r>
      <w:proofErr w:type="spellStart"/>
      <w:r w:rsidRPr="00E645B1">
        <w:t>for</w:t>
      </w:r>
      <w:proofErr w:type="spellEnd"/>
      <w:r w:rsidRPr="00E645B1">
        <w:t xml:space="preserve"> </w:t>
      </w:r>
      <w:proofErr w:type="spellStart"/>
      <w:r w:rsidRPr="00E645B1">
        <w:t>behandling</w:t>
      </w:r>
      <w:proofErr w:type="spellEnd"/>
      <w:r w:rsidRPr="00E645B1">
        <w:t xml:space="preserve"> med </w:t>
      </w:r>
      <w:proofErr w:type="spellStart"/>
      <w:r w:rsidRPr="00E645B1">
        <w:t>dabigatranetexilat</w:t>
      </w:r>
      <w:proofErr w:type="spellEnd"/>
      <w:r w:rsidRPr="00E645B1">
        <w:t xml:space="preserve"> 110 mg </w:t>
      </w:r>
      <w:proofErr w:type="spellStart"/>
      <w:r w:rsidRPr="00E645B1">
        <w:t>to</w:t>
      </w:r>
      <w:proofErr w:type="spellEnd"/>
      <w:r w:rsidRPr="00E645B1">
        <w:t xml:space="preserve"> </w:t>
      </w:r>
      <w:proofErr w:type="spellStart"/>
      <w:r w:rsidRPr="00E645B1">
        <w:t>gange</w:t>
      </w:r>
      <w:proofErr w:type="spellEnd"/>
      <w:r w:rsidRPr="00E645B1">
        <w:t xml:space="preserve"> </w:t>
      </w:r>
      <w:proofErr w:type="spellStart"/>
      <w:r w:rsidRPr="00E645B1">
        <w:t>dagligt</w:t>
      </w:r>
      <w:proofErr w:type="spellEnd"/>
      <w:r w:rsidRPr="00E645B1">
        <w:t>.</w:t>
      </w:r>
    </w:p>
    <w:p w14:paraId="6A693FB3" w14:textId="77777777" w:rsidR="008659B7" w:rsidRPr="00DB2CE6" w:rsidRDefault="008659B7" w:rsidP="008659B7">
      <w:pPr>
        <w:rPr>
          <w:lang w:val="da-DK"/>
        </w:rPr>
      </w:pPr>
    </w:p>
    <w:p w14:paraId="62BD9423" w14:textId="77777777" w:rsidR="008659B7" w:rsidRPr="00DB2CE6" w:rsidRDefault="008659B7" w:rsidP="008659B7">
      <w:pPr>
        <w:rPr>
          <w:b/>
          <w:bCs/>
          <w:lang w:val="da-DK"/>
        </w:rPr>
      </w:pPr>
      <w:r w:rsidRPr="00E645B1">
        <w:rPr>
          <w:b/>
          <w:bCs/>
        </w:rPr>
        <w:t>Perkutan koronar intervention (PCI) med stentindsættelse (SPAF)</w:t>
      </w:r>
    </w:p>
    <w:p w14:paraId="1DE8E1F3" w14:textId="7205B591" w:rsidR="008659B7" w:rsidRPr="00DB2CE6" w:rsidRDefault="008659B7" w:rsidP="008659B7">
      <w:pPr>
        <w:rPr>
          <w:lang w:val="da-DK"/>
        </w:rPr>
      </w:pPr>
      <w:proofErr w:type="spellStart"/>
      <w:r w:rsidRPr="00E645B1">
        <w:t>Patienter</w:t>
      </w:r>
      <w:proofErr w:type="spellEnd"/>
      <w:r w:rsidRPr="00E645B1">
        <w:t xml:space="preserve"> med </w:t>
      </w:r>
      <w:proofErr w:type="spellStart"/>
      <w:r w:rsidRPr="00E645B1">
        <w:t>ikke-valvulær</w:t>
      </w:r>
      <w:proofErr w:type="spellEnd"/>
      <w:r w:rsidRPr="00E645B1">
        <w:t xml:space="preserve"> </w:t>
      </w:r>
      <w:proofErr w:type="spellStart"/>
      <w:r w:rsidRPr="00E645B1">
        <w:t>atrieflimren</w:t>
      </w:r>
      <w:proofErr w:type="spellEnd"/>
      <w:r w:rsidRPr="00E645B1">
        <w:t xml:space="preserve">, der </w:t>
      </w:r>
      <w:proofErr w:type="spellStart"/>
      <w:r w:rsidRPr="00E645B1">
        <w:t>gennemgår</w:t>
      </w:r>
      <w:proofErr w:type="spellEnd"/>
      <w:r w:rsidRPr="00E645B1">
        <w:t xml:space="preserve"> PCI med </w:t>
      </w:r>
      <w:proofErr w:type="spellStart"/>
      <w:r w:rsidRPr="00E645B1">
        <w:t>stentindsættelse</w:t>
      </w:r>
      <w:proofErr w:type="spellEnd"/>
      <w:r w:rsidRPr="00E645B1">
        <w:t xml:space="preserve">, </w:t>
      </w:r>
      <w:proofErr w:type="spellStart"/>
      <w:r w:rsidRPr="00E645B1">
        <w:t>kan</w:t>
      </w:r>
      <w:proofErr w:type="spellEnd"/>
      <w:r w:rsidRPr="00E645B1">
        <w:t xml:space="preserve"> </w:t>
      </w:r>
      <w:proofErr w:type="spellStart"/>
      <w:r w:rsidRPr="00E645B1">
        <w:t>behandles</w:t>
      </w:r>
      <w:proofErr w:type="spellEnd"/>
      <w:r w:rsidRPr="00E645B1">
        <w:t xml:space="preserve"> med </w:t>
      </w:r>
      <w:proofErr w:type="spellStart"/>
      <w:r w:rsidRPr="00E645B1">
        <w:t>dabigatranetexilat</w:t>
      </w:r>
      <w:proofErr w:type="spellEnd"/>
      <w:r w:rsidRPr="00E645B1">
        <w:t xml:space="preserve"> i </w:t>
      </w:r>
      <w:proofErr w:type="spellStart"/>
      <w:r w:rsidRPr="00E645B1">
        <w:t>kombination</w:t>
      </w:r>
      <w:proofErr w:type="spellEnd"/>
      <w:r w:rsidRPr="00E645B1">
        <w:t xml:space="preserve"> med </w:t>
      </w:r>
      <w:proofErr w:type="spellStart"/>
      <w:r w:rsidRPr="00E645B1">
        <w:t>trombocythæmmende</w:t>
      </w:r>
      <w:proofErr w:type="spellEnd"/>
      <w:r w:rsidRPr="00E645B1">
        <w:t xml:space="preserve"> </w:t>
      </w:r>
      <w:proofErr w:type="spellStart"/>
      <w:r w:rsidRPr="00E645B1">
        <w:t>midler</w:t>
      </w:r>
      <w:proofErr w:type="spellEnd"/>
      <w:r w:rsidRPr="00E645B1">
        <w:t xml:space="preserve">, </w:t>
      </w:r>
      <w:proofErr w:type="spellStart"/>
      <w:r w:rsidRPr="00E645B1">
        <w:t>efter</w:t>
      </w:r>
      <w:proofErr w:type="spellEnd"/>
      <w:r w:rsidRPr="00E645B1">
        <w:t xml:space="preserve"> at </w:t>
      </w:r>
      <w:proofErr w:type="spellStart"/>
      <w:r w:rsidRPr="00E645B1">
        <w:t>hæmostase</w:t>
      </w:r>
      <w:proofErr w:type="spellEnd"/>
      <w:r w:rsidRPr="00E645B1">
        <w:t xml:space="preserve"> er </w:t>
      </w:r>
      <w:proofErr w:type="spellStart"/>
      <w:r w:rsidRPr="00E645B1">
        <w:t>opnået</w:t>
      </w:r>
      <w:proofErr w:type="spellEnd"/>
      <w:r w:rsidRPr="00E645B1">
        <w:t>.</w:t>
      </w:r>
    </w:p>
    <w:p w14:paraId="5241DB94" w14:textId="77777777" w:rsidR="00667F69" w:rsidRPr="00DB2CE6" w:rsidRDefault="00667F69" w:rsidP="008659B7">
      <w:pPr>
        <w:rPr>
          <w:lang w:val="da-DK"/>
        </w:rPr>
      </w:pPr>
    </w:p>
    <w:p w14:paraId="0A30FBF3" w14:textId="5C08A229" w:rsidR="008659B7" w:rsidRPr="00DB2CE6" w:rsidRDefault="008659B7" w:rsidP="008659B7">
      <w:pPr>
        <w:rPr>
          <w:b/>
          <w:bCs/>
          <w:lang w:val="da-DK"/>
        </w:rPr>
      </w:pPr>
      <w:r w:rsidRPr="00E645B1">
        <w:rPr>
          <w:b/>
          <w:bCs/>
        </w:rPr>
        <w:t>Indgivelsesmåde</w:t>
      </w:r>
    </w:p>
    <w:p w14:paraId="143E567F" w14:textId="6016F2FA" w:rsidR="008659B7" w:rsidRPr="00DB2CE6" w:rsidRDefault="008659B7" w:rsidP="008659B7">
      <w:pPr>
        <w:rPr>
          <w:lang w:val="da-DK"/>
        </w:rPr>
      </w:pPr>
      <w:proofErr w:type="spellStart"/>
      <w:r w:rsidRPr="00E645B1">
        <w:t>Dabigatranetexilat</w:t>
      </w:r>
      <w:proofErr w:type="spellEnd"/>
      <w:r w:rsidR="00BA7578">
        <w:t xml:space="preserve"> </w:t>
      </w:r>
      <w:proofErr w:type="spellStart"/>
      <w:r w:rsidR="00BA7578">
        <w:t>kapslen</w:t>
      </w:r>
      <w:proofErr w:type="spellEnd"/>
      <w:r w:rsidRPr="00E645B1">
        <w:t xml:space="preserve"> er beregnet </w:t>
      </w:r>
      <w:proofErr w:type="spellStart"/>
      <w:r w:rsidRPr="00E645B1">
        <w:t>til</w:t>
      </w:r>
      <w:proofErr w:type="spellEnd"/>
      <w:r w:rsidRPr="00E645B1">
        <w:t xml:space="preserve"> oral </w:t>
      </w:r>
      <w:proofErr w:type="spellStart"/>
      <w:r w:rsidRPr="00E645B1">
        <w:t>brug</w:t>
      </w:r>
      <w:proofErr w:type="spellEnd"/>
      <w:r w:rsidRPr="00E645B1">
        <w:t>.</w:t>
      </w:r>
    </w:p>
    <w:p w14:paraId="368908F9" w14:textId="72A7376C" w:rsidR="008659B7" w:rsidRPr="00DB2CE6" w:rsidRDefault="00667F69" w:rsidP="008659B7">
      <w:pPr>
        <w:rPr>
          <w:lang w:val="da-DK"/>
        </w:rPr>
      </w:pPr>
      <w:r w:rsidRPr="00E645B1">
        <w:t xml:space="preserve">• </w:t>
      </w:r>
      <w:proofErr w:type="spellStart"/>
      <w:r w:rsidRPr="00E645B1">
        <w:t>Kapsle</w:t>
      </w:r>
      <w:r w:rsidR="00BA7578">
        <w:t>n</w:t>
      </w:r>
      <w:proofErr w:type="spellEnd"/>
      <w:r w:rsidRPr="00E645B1">
        <w:t xml:space="preserve"> </w:t>
      </w:r>
      <w:proofErr w:type="spellStart"/>
      <w:r w:rsidRPr="00E645B1">
        <w:t>kan</w:t>
      </w:r>
      <w:proofErr w:type="spellEnd"/>
      <w:r w:rsidRPr="00E645B1">
        <w:t xml:space="preserve"> </w:t>
      </w:r>
      <w:proofErr w:type="spellStart"/>
      <w:r w:rsidRPr="00E645B1">
        <w:t>tages</w:t>
      </w:r>
      <w:proofErr w:type="spellEnd"/>
      <w:r w:rsidRPr="00E645B1">
        <w:t xml:space="preserve"> med eller uden måltider. </w:t>
      </w:r>
      <w:proofErr w:type="spellStart"/>
      <w:r w:rsidRPr="00E645B1">
        <w:t>Dabigatranetexilat</w:t>
      </w:r>
      <w:proofErr w:type="spellEnd"/>
      <w:r w:rsidR="00BA7578">
        <w:t xml:space="preserve"> </w:t>
      </w:r>
      <w:proofErr w:type="spellStart"/>
      <w:r w:rsidR="00BA7578">
        <w:t>kapslen</w:t>
      </w:r>
      <w:proofErr w:type="spellEnd"/>
      <w:r w:rsidRPr="00E645B1">
        <w:t xml:space="preserve"> </w:t>
      </w:r>
      <w:proofErr w:type="spellStart"/>
      <w:r w:rsidRPr="00E645B1">
        <w:t>skal</w:t>
      </w:r>
      <w:proofErr w:type="spellEnd"/>
      <w:r w:rsidRPr="00E645B1">
        <w:t xml:space="preserve"> </w:t>
      </w:r>
      <w:proofErr w:type="spellStart"/>
      <w:r w:rsidRPr="00E645B1">
        <w:t>synkes</w:t>
      </w:r>
      <w:proofErr w:type="spellEnd"/>
      <w:r w:rsidRPr="00E645B1">
        <w:t xml:space="preserve"> </w:t>
      </w:r>
      <w:proofErr w:type="spellStart"/>
      <w:r w:rsidRPr="00E645B1">
        <w:t>hel</w:t>
      </w:r>
      <w:proofErr w:type="spellEnd"/>
      <w:r w:rsidRPr="00E645B1">
        <w:t xml:space="preserve"> med et </w:t>
      </w:r>
      <w:proofErr w:type="spellStart"/>
      <w:r w:rsidRPr="00E645B1">
        <w:t>glas</w:t>
      </w:r>
      <w:proofErr w:type="spellEnd"/>
      <w:r w:rsidRPr="00E645B1">
        <w:t xml:space="preserve"> </w:t>
      </w:r>
      <w:proofErr w:type="spellStart"/>
      <w:r w:rsidRPr="00E645B1">
        <w:t>vand</w:t>
      </w:r>
      <w:proofErr w:type="spellEnd"/>
      <w:r w:rsidRPr="00E645B1">
        <w:t xml:space="preserve"> </w:t>
      </w:r>
      <w:proofErr w:type="spellStart"/>
      <w:r w:rsidRPr="00E645B1">
        <w:t>for</w:t>
      </w:r>
      <w:proofErr w:type="spellEnd"/>
      <w:r w:rsidRPr="00E645B1">
        <w:t xml:space="preserve"> at </w:t>
      </w:r>
      <w:proofErr w:type="spellStart"/>
      <w:r w:rsidR="00BA7578">
        <w:t>lette</w:t>
      </w:r>
      <w:proofErr w:type="spellEnd"/>
      <w:r w:rsidR="00BA7578">
        <w:t xml:space="preserve"> </w:t>
      </w:r>
      <w:proofErr w:type="spellStart"/>
      <w:r w:rsidR="00BA7578">
        <w:t>passagen</w:t>
      </w:r>
      <w:proofErr w:type="spellEnd"/>
      <w:r w:rsidRPr="00E645B1">
        <w:t xml:space="preserve"> </w:t>
      </w:r>
      <w:proofErr w:type="spellStart"/>
      <w:r w:rsidRPr="00E645B1">
        <w:t>til</w:t>
      </w:r>
      <w:proofErr w:type="spellEnd"/>
      <w:r w:rsidRPr="00E645B1">
        <w:t xml:space="preserve"> </w:t>
      </w:r>
      <w:proofErr w:type="spellStart"/>
      <w:r w:rsidRPr="00E645B1">
        <w:t>maven</w:t>
      </w:r>
      <w:proofErr w:type="spellEnd"/>
      <w:r w:rsidRPr="00E645B1">
        <w:t>.</w:t>
      </w:r>
    </w:p>
    <w:p w14:paraId="422A1332" w14:textId="57A9DC34" w:rsidR="008659B7" w:rsidRPr="00DB2CE6" w:rsidRDefault="00667F69" w:rsidP="008659B7">
      <w:pPr>
        <w:rPr>
          <w:lang w:val="da-DK"/>
        </w:rPr>
      </w:pPr>
      <w:r w:rsidRPr="00E645B1">
        <w:t>• Kapslen må ikke knækkes eller tygges, og kapslens indhold må ikke tømmes, da dette kan øge risikoen for blødning.</w:t>
      </w:r>
    </w:p>
    <w:p w14:paraId="632F3DBA" w14:textId="7113EB2C" w:rsidR="008659B7" w:rsidRPr="00DB2CE6" w:rsidRDefault="008659B7" w:rsidP="008659B7">
      <w:pPr>
        <w:rPr>
          <w:lang w:val="da-DK"/>
        </w:rPr>
      </w:pPr>
    </w:p>
    <w:p w14:paraId="2431D83E" w14:textId="1F43BE3D" w:rsidR="008659B7" w:rsidRPr="00DB2CE6" w:rsidRDefault="008659B7" w:rsidP="008659B7">
      <w:pPr>
        <w:rPr>
          <w:b/>
          <w:bCs/>
          <w:sz w:val="28"/>
          <w:szCs w:val="28"/>
          <w:lang w:val="da-DK"/>
        </w:rPr>
      </w:pPr>
      <w:bookmarkStart w:id="4" w:name="_Toc161922287"/>
      <w:r w:rsidRPr="00E645B1">
        <w:rPr>
          <w:rStyle w:val="Overskrift1Tegn"/>
        </w:rPr>
        <w:t>Særlige patientgrupper med potentielt øget risiko for blødning</w:t>
      </w:r>
      <w:bookmarkEnd w:id="4"/>
      <w:r w:rsidRPr="00E645B1">
        <w:rPr>
          <w:b/>
          <w:bCs/>
          <w:sz w:val="28"/>
          <w:szCs w:val="28"/>
          <w:vertAlign w:val="superscript"/>
        </w:rPr>
        <w:t>1</w:t>
      </w:r>
    </w:p>
    <w:p w14:paraId="5594BF80" w14:textId="50A87C4E" w:rsidR="008C7377" w:rsidRPr="00DB2CE6" w:rsidRDefault="008C7377" w:rsidP="008C7377">
      <w:pPr>
        <w:rPr>
          <w:lang w:val="da-DK"/>
        </w:rPr>
      </w:pPr>
      <w:proofErr w:type="spellStart"/>
      <w:r w:rsidRPr="00E645B1">
        <w:t>Tæt</w:t>
      </w:r>
      <w:proofErr w:type="spellEnd"/>
      <w:r w:rsidRPr="00E645B1">
        <w:t xml:space="preserve"> </w:t>
      </w:r>
      <w:proofErr w:type="spellStart"/>
      <w:r w:rsidRPr="00E645B1">
        <w:t>monitorering</w:t>
      </w:r>
      <w:proofErr w:type="spellEnd"/>
      <w:r w:rsidRPr="00E645B1">
        <w:t xml:space="preserve"> </w:t>
      </w:r>
      <w:proofErr w:type="spellStart"/>
      <w:r w:rsidRPr="00E645B1">
        <w:t>anbefales</w:t>
      </w:r>
      <w:proofErr w:type="spellEnd"/>
      <w:r w:rsidRPr="00E645B1">
        <w:t xml:space="preserve"> </w:t>
      </w:r>
      <w:proofErr w:type="spellStart"/>
      <w:r w:rsidRPr="00E645B1">
        <w:t>hos</w:t>
      </w:r>
      <w:proofErr w:type="spellEnd"/>
      <w:r w:rsidRPr="00E645B1">
        <w:t xml:space="preserve"> </w:t>
      </w:r>
      <w:proofErr w:type="spellStart"/>
      <w:r w:rsidRPr="00E645B1">
        <w:t>patienter</w:t>
      </w:r>
      <w:proofErr w:type="spellEnd"/>
      <w:r w:rsidRPr="00E645B1">
        <w:t xml:space="preserve"> med </w:t>
      </w:r>
      <w:proofErr w:type="spellStart"/>
      <w:r w:rsidRPr="00E645B1">
        <w:t>øget</w:t>
      </w:r>
      <w:proofErr w:type="spellEnd"/>
      <w:r w:rsidRPr="00E645B1">
        <w:t xml:space="preserve"> </w:t>
      </w:r>
      <w:proofErr w:type="spellStart"/>
      <w:r w:rsidRPr="00E645B1">
        <w:t>risiko</w:t>
      </w:r>
      <w:proofErr w:type="spellEnd"/>
      <w:r w:rsidRPr="00E645B1">
        <w:t xml:space="preserve"> </w:t>
      </w:r>
      <w:proofErr w:type="spellStart"/>
      <w:r w:rsidRPr="00E645B1">
        <w:t>for</w:t>
      </w:r>
      <w:proofErr w:type="spellEnd"/>
      <w:r w:rsidRPr="00E645B1">
        <w:t xml:space="preserve"> </w:t>
      </w:r>
      <w:proofErr w:type="spellStart"/>
      <w:r w:rsidRPr="00E645B1">
        <w:t>blødning</w:t>
      </w:r>
      <w:proofErr w:type="spellEnd"/>
      <w:r w:rsidRPr="00E645B1">
        <w:t xml:space="preserve"> (se </w:t>
      </w:r>
      <w:proofErr w:type="spellStart"/>
      <w:r w:rsidRPr="00E645B1">
        <w:t>tabel</w:t>
      </w:r>
      <w:proofErr w:type="spellEnd"/>
      <w:r w:rsidRPr="00E645B1">
        <w:t xml:space="preserve"> 1) (</w:t>
      </w:r>
      <w:proofErr w:type="spellStart"/>
      <w:r w:rsidRPr="00E645B1">
        <w:t>tegn</w:t>
      </w:r>
      <w:proofErr w:type="spellEnd"/>
      <w:r w:rsidRPr="00E645B1">
        <w:t xml:space="preserve"> </w:t>
      </w:r>
      <w:proofErr w:type="spellStart"/>
      <w:r w:rsidRPr="00E645B1">
        <w:t>eller</w:t>
      </w:r>
      <w:proofErr w:type="spellEnd"/>
      <w:r w:rsidRPr="00E645B1">
        <w:t xml:space="preserve"> </w:t>
      </w:r>
      <w:proofErr w:type="spellStart"/>
      <w:r w:rsidRPr="00E645B1">
        <w:t>symptomer</w:t>
      </w:r>
      <w:proofErr w:type="spellEnd"/>
      <w:r w:rsidRPr="00E645B1">
        <w:t xml:space="preserve"> </w:t>
      </w:r>
      <w:proofErr w:type="spellStart"/>
      <w:r w:rsidRPr="00E645B1">
        <w:t>på</w:t>
      </w:r>
      <w:proofErr w:type="spellEnd"/>
      <w:r w:rsidRPr="00E645B1">
        <w:t xml:space="preserve"> </w:t>
      </w:r>
      <w:proofErr w:type="spellStart"/>
      <w:r w:rsidRPr="00E645B1">
        <w:t>blødning</w:t>
      </w:r>
      <w:proofErr w:type="spellEnd"/>
      <w:r w:rsidRPr="00E645B1">
        <w:t xml:space="preserve"> </w:t>
      </w:r>
      <w:proofErr w:type="spellStart"/>
      <w:r w:rsidRPr="00E645B1">
        <w:t>eller</w:t>
      </w:r>
      <w:proofErr w:type="spellEnd"/>
      <w:r w:rsidRPr="00E645B1">
        <w:t xml:space="preserve"> </w:t>
      </w:r>
      <w:proofErr w:type="spellStart"/>
      <w:r w:rsidRPr="00E645B1">
        <w:t>anæmi</w:t>
      </w:r>
      <w:proofErr w:type="spellEnd"/>
      <w:r w:rsidRPr="00E645B1">
        <w:t xml:space="preserve">), </w:t>
      </w:r>
      <w:proofErr w:type="spellStart"/>
      <w:r w:rsidRPr="00E645B1">
        <w:t>især</w:t>
      </w:r>
      <w:proofErr w:type="spellEnd"/>
      <w:r w:rsidRPr="00E645B1">
        <w:t xml:space="preserve"> </w:t>
      </w:r>
      <w:proofErr w:type="spellStart"/>
      <w:r w:rsidRPr="00E645B1">
        <w:t>når</w:t>
      </w:r>
      <w:proofErr w:type="spellEnd"/>
      <w:r w:rsidRPr="00E645B1">
        <w:t xml:space="preserve"> </w:t>
      </w:r>
      <w:r w:rsidR="00BA7578">
        <w:t xml:space="preserve">der er </w:t>
      </w:r>
      <w:proofErr w:type="spellStart"/>
      <w:r w:rsidR="00BA7578">
        <w:t>flere</w:t>
      </w:r>
      <w:proofErr w:type="spellEnd"/>
      <w:r w:rsidR="00BA7578">
        <w:t xml:space="preserve"> </w:t>
      </w:r>
      <w:proofErr w:type="spellStart"/>
      <w:r w:rsidR="00BA7578">
        <w:t>risikofaktorer</w:t>
      </w:r>
      <w:proofErr w:type="spellEnd"/>
      <w:r w:rsidRPr="00E645B1">
        <w:t xml:space="preserve">. Hvis der er et </w:t>
      </w:r>
      <w:proofErr w:type="spellStart"/>
      <w:r w:rsidRPr="00E645B1">
        <w:t>uforklarligt</w:t>
      </w:r>
      <w:proofErr w:type="spellEnd"/>
      <w:r w:rsidRPr="00E645B1">
        <w:t xml:space="preserve"> </w:t>
      </w:r>
      <w:proofErr w:type="spellStart"/>
      <w:r w:rsidRPr="00E645B1">
        <w:t>fald</w:t>
      </w:r>
      <w:proofErr w:type="spellEnd"/>
      <w:r w:rsidRPr="00E645B1">
        <w:t xml:space="preserve"> i </w:t>
      </w:r>
      <w:proofErr w:type="spellStart"/>
      <w:r w:rsidRPr="00E645B1">
        <w:t>hæmoglobin</w:t>
      </w:r>
      <w:proofErr w:type="spellEnd"/>
      <w:r w:rsidRPr="00E645B1">
        <w:t xml:space="preserve">- </w:t>
      </w:r>
      <w:proofErr w:type="spellStart"/>
      <w:r w:rsidRPr="00E645B1">
        <w:t>og</w:t>
      </w:r>
      <w:proofErr w:type="spellEnd"/>
      <w:r w:rsidRPr="00E645B1">
        <w:t>/</w:t>
      </w:r>
      <w:proofErr w:type="spellStart"/>
      <w:r w:rsidRPr="00E645B1">
        <w:t>eller</w:t>
      </w:r>
      <w:proofErr w:type="spellEnd"/>
      <w:r w:rsidRPr="00E645B1">
        <w:t xml:space="preserve"> </w:t>
      </w:r>
      <w:proofErr w:type="spellStart"/>
      <w:r w:rsidRPr="00E645B1">
        <w:t>hæmatokritniveauet</w:t>
      </w:r>
      <w:proofErr w:type="spellEnd"/>
      <w:r w:rsidRPr="00E645B1">
        <w:t xml:space="preserve"> </w:t>
      </w:r>
      <w:proofErr w:type="spellStart"/>
      <w:r w:rsidRPr="00E645B1">
        <w:t>eller</w:t>
      </w:r>
      <w:proofErr w:type="spellEnd"/>
      <w:r w:rsidRPr="00E645B1">
        <w:t xml:space="preserve"> </w:t>
      </w:r>
      <w:proofErr w:type="spellStart"/>
      <w:r w:rsidRPr="00E645B1">
        <w:t>blodtrykket</w:t>
      </w:r>
      <w:proofErr w:type="spellEnd"/>
      <w:r w:rsidRPr="00E645B1">
        <w:t xml:space="preserve">, </w:t>
      </w:r>
      <w:proofErr w:type="spellStart"/>
      <w:r w:rsidRPr="00E645B1">
        <w:t>skal</w:t>
      </w:r>
      <w:proofErr w:type="spellEnd"/>
      <w:r w:rsidRPr="00E645B1">
        <w:t xml:space="preserve"> </w:t>
      </w:r>
      <w:proofErr w:type="spellStart"/>
      <w:r w:rsidR="00BA7578">
        <w:t>det</w:t>
      </w:r>
      <w:proofErr w:type="spellEnd"/>
      <w:r w:rsidR="00BA7578" w:rsidRPr="00BA7578">
        <w:t xml:space="preserve"> </w:t>
      </w:r>
      <w:proofErr w:type="spellStart"/>
      <w:r w:rsidR="00BA7578">
        <w:t>føre</w:t>
      </w:r>
      <w:proofErr w:type="spellEnd"/>
      <w:r w:rsidR="00BA7578">
        <w:t xml:space="preserve"> </w:t>
      </w:r>
      <w:proofErr w:type="spellStart"/>
      <w:r w:rsidR="00BA7578">
        <w:t>til</w:t>
      </w:r>
      <w:proofErr w:type="spellEnd"/>
      <w:r w:rsidR="00BA7578">
        <w:t xml:space="preserve"> </w:t>
      </w:r>
      <w:proofErr w:type="spellStart"/>
      <w:r w:rsidR="00BA7578">
        <w:t>udredning</w:t>
      </w:r>
      <w:proofErr w:type="spellEnd"/>
      <w:r w:rsidR="00BA7578">
        <w:t xml:space="preserve"> </w:t>
      </w:r>
      <w:proofErr w:type="spellStart"/>
      <w:r w:rsidR="00BA7578">
        <w:t>af</w:t>
      </w:r>
      <w:proofErr w:type="spellEnd"/>
      <w:r w:rsidR="00BA7578">
        <w:t xml:space="preserve"> en </w:t>
      </w:r>
      <w:proofErr w:type="spellStart"/>
      <w:r w:rsidR="00BA7578">
        <w:t>blødningskilde</w:t>
      </w:r>
      <w:proofErr w:type="spellEnd"/>
      <w:r w:rsidRPr="00E645B1">
        <w:t xml:space="preserve">. Dosisjustering bør foretages efter lægens skøn efter omhyggelig vurdering af den terapeutiske fordel for den enkelte patient (se ovenfor). En koagulationstest (se afsnittet om koagulationstest og fortolkningen heraf) kan hjælpe med at identificere patienter, der har højere </w:t>
      </w:r>
      <w:r w:rsidRPr="00E645B1">
        <w:lastRenderedPageBreak/>
        <w:t xml:space="preserve">risiko for blødning på grund af overdreven eksponering for dabigatran. Hos patienter med øget risiko for blødning er en daglig dosis på 220 mg, administreret som en kapsel på 110 mg 2 x dagligt, indiceret i tilfælde af overdreven eksponering for dabigatran. </w:t>
      </w:r>
      <w:proofErr w:type="spellStart"/>
      <w:r w:rsidRPr="00E645B1">
        <w:t>Hvis</w:t>
      </w:r>
      <w:proofErr w:type="spellEnd"/>
      <w:r w:rsidRPr="00E645B1">
        <w:t xml:space="preserve"> der </w:t>
      </w:r>
      <w:proofErr w:type="spellStart"/>
      <w:r w:rsidRPr="00E645B1">
        <w:t>opstår</w:t>
      </w:r>
      <w:proofErr w:type="spellEnd"/>
      <w:r w:rsidRPr="00E645B1">
        <w:t xml:space="preserve"> </w:t>
      </w:r>
      <w:proofErr w:type="spellStart"/>
      <w:r w:rsidRPr="00E645B1">
        <w:t>klinisk</w:t>
      </w:r>
      <w:proofErr w:type="spellEnd"/>
      <w:r w:rsidRPr="00E645B1">
        <w:t xml:space="preserve"> relevant </w:t>
      </w:r>
      <w:proofErr w:type="spellStart"/>
      <w:r w:rsidRPr="00E645B1">
        <w:t>blødning</w:t>
      </w:r>
      <w:proofErr w:type="spellEnd"/>
      <w:r w:rsidRPr="00E645B1">
        <w:t xml:space="preserve">, </w:t>
      </w:r>
      <w:proofErr w:type="spellStart"/>
      <w:r w:rsidRPr="00E645B1">
        <w:t>skal</w:t>
      </w:r>
      <w:proofErr w:type="spellEnd"/>
      <w:r w:rsidRPr="00E645B1">
        <w:t xml:space="preserve"> </w:t>
      </w:r>
      <w:proofErr w:type="spellStart"/>
      <w:r w:rsidRPr="00E645B1">
        <w:t>behandlingen</w:t>
      </w:r>
      <w:proofErr w:type="spellEnd"/>
      <w:r w:rsidRPr="00E645B1">
        <w:t xml:space="preserve"> </w:t>
      </w:r>
      <w:proofErr w:type="spellStart"/>
      <w:r w:rsidRPr="00E645B1">
        <w:t>seponeres</w:t>
      </w:r>
      <w:proofErr w:type="spellEnd"/>
      <w:r w:rsidRPr="00E645B1">
        <w:t>.</w:t>
      </w:r>
    </w:p>
    <w:p w14:paraId="468369EA" w14:textId="6EF0D2F2" w:rsidR="008C7377" w:rsidRPr="00DB2CE6" w:rsidRDefault="008C7377" w:rsidP="008C7377">
      <w:pPr>
        <w:rPr>
          <w:lang w:val="da-DK"/>
        </w:rPr>
      </w:pPr>
      <w:proofErr w:type="spellStart"/>
      <w:r w:rsidRPr="00E645B1">
        <w:t>Hvis</w:t>
      </w:r>
      <w:proofErr w:type="spellEnd"/>
      <w:r w:rsidRPr="00E645B1">
        <w:t xml:space="preserve"> hurtig </w:t>
      </w:r>
      <w:proofErr w:type="spellStart"/>
      <w:r w:rsidRPr="00E645B1">
        <w:t>reversering</w:t>
      </w:r>
      <w:proofErr w:type="spellEnd"/>
      <w:r w:rsidRPr="00E645B1">
        <w:t xml:space="preserve"> </w:t>
      </w:r>
      <w:proofErr w:type="spellStart"/>
      <w:r w:rsidRPr="00E645B1">
        <w:t>af</w:t>
      </w:r>
      <w:proofErr w:type="spellEnd"/>
      <w:r w:rsidRPr="00E645B1">
        <w:t xml:space="preserve"> </w:t>
      </w:r>
      <w:proofErr w:type="spellStart"/>
      <w:r w:rsidRPr="00E645B1">
        <w:t>dabigatran's</w:t>
      </w:r>
      <w:proofErr w:type="spellEnd"/>
      <w:r w:rsidRPr="00E645B1">
        <w:t xml:space="preserve"> </w:t>
      </w:r>
      <w:proofErr w:type="spellStart"/>
      <w:r w:rsidRPr="00E645B1">
        <w:t>antikoagulerende</w:t>
      </w:r>
      <w:proofErr w:type="spellEnd"/>
      <w:r w:rsidRPr="00E645B1">
        <w:t xml:space="preserve"> </w:t>
      </w:r>
      <w:proofErr w:type="spellStart"/>
      <w:r w:rsidRPr="00E645B1">
        <w:t>virkning</w:t>
      </w:r>
      <w:proofErr w:type="spellEnd"/>
      <w:r w:rsidRPr="00E645B1">
        <w:t xml:space="preserve"> er </w:t>
      </w:r>
      <w:proofErr w:type="spellStart"/>
      <w:r w:rsidRPr="00E645B1">
        <w:t>nødvendig</w:t>
      </w:r>
      <w:proofErr w:type="spellEnd"/>
      <w:r w:rsidRPr="00E645B1">
        <w:t xml:space="preserve"> i </w:t>
      </w:r>
      <w:proofErr w:type="spellStart"/>
      <w:r w:rsidRPr="00E645B1">
        <w:t>situationer</w:t>
      </w:r>
      <w:proofErr w:type="spellEnd"/>
      <w:r w:rsidRPr="00E645B1">
        <w:t xml:space="preserve"> med </w:t>
      </w:r>
      <w:proofErr w:type="spellStart"/>
      <w:r w:rsidRPr="00E645B1">
        <w:t>livstruende</w:t>
      </w:r>
      <w:proofErr w:type="spellEnd"/>
      <w:r w:rsidRPr="00E645B1">
        <w:t xml:space="preserve"> </w:t>
      </w:r>
      <w:proofErr w:type="spellStart"/>
      <w:r w:rsidRPr="00E645B1">
        <w:t>eller</w:t>
      </w:r>
      <w:proofErr w:type="spellEnd"/>
      <w:r w:rsidRPr="00E645B1">
        <w:t xml:space="preserve"> </w:t>
      </w:r>
      <w:proofErr w:type="spellStart"/>
      <w:r w:rsidRPr="00E645B1">
        <w:t>ukontrollabel</w:t>
      </w:r>
      <w:proofErr w:type="spellEnd"/>
      <w:r w:rsidRPr="00E645B1">
        <w:t xml:space="preserve"> </w:t>
      </w:r>
      <w:proofErr w:type="spellStart"/>
      <w:r w:rsidRPr="00E645B1">
        <w:t>blødning</w:t>
      </w:r>
      <w:proofErr w:type="spellEnd"/>
      <w:r w:rsidRPr="00E645B1">
        <w:t xml:space="preserve">, er en </w:t>
      </w:r>
      <w:proofErr w:type="spellStart"/>
      <w:r w:rsidRPr="00E645B1">
        <w:t>specifik</w:t>
      </w:r>
      <w:proofErr w:type="spellEnd"/>
      <w:r w:rsidRPr="00E645B1">
        <w:t xml:space="preserve"> </w:t>
      </w:r>
      <w:proofErr w:type="spellStart"/>
      <w:r w:rsidRPr="00E645B1">
        <w:t>modgift</w:t>
      </w:r>
      <w:proofErr w:type="spellEnd"/>
      <w:r w:rsidRPr="00E645B1">
        <w:t xml:space="preserve"> (</w:t>
      </w:r>
      <w:proofErr w:type="spellStart"/>
      <w:r w:rsidRPr="00E645B1">
        <w:t>idarucizumab</w:t>
      </w:r>
      <w:proofErr w:type="spellEnd"/>
      <w:r w:rsidRPr="00E645B1">
        <w:t xml:space="preserve">) </w:t>
      </w:r>
      <w:proofErr w:type="spellStart"/>
      <w:r w:rsidRPr="00E645B1">
        <w:t>tilgængelig</w:t>
      </w:r>
      <w:proofErr w:type="spellEnd"/>
      <w:r w:rsidRPr="00E645B1">
        <w:t>.</w:t>
      </w:r>
    </w:p>
    <w:p w14:paraId="3A831CBC" w14:textId="77777777" w:rsidR="008C7377" w:rsidRPr="00DB2CE6" w:rsidRDefault="008C7377" w:rsidP="008C7377">
      <w:pPr>
        <w:rPr>
          <w:lang w:val="da-DK"/>
        </w:rPr>
      </w:pPr>
    </w:p>
    <w:p w14:paraId="46531AC0" w14:textId="332BFDBF" w:rsidR="008659B7" w:rsidRPr="00DB2CE6" w:rsidRDefault="008C7377" w:rsidP="008C7377">
      <w:pPr>
        <w:rPr>
          <w:b/>
          <w:bCs/>
          <w:lang w:val="da-DK"/>
        </w:rPr>
      </w:pPr>
      <w:r w:rsidRPr="00E645B1">
        <w:rPr>
          <w:b/>
          <w:bCs/>
        </w:rPr>
        <w:t>Tabel 1: Faktorer, der kan øge risikoen for blødning*</w:t>
      </w:r>
    </w:p>
    <w:tbl>
      <w:tblPr>
        <w:tblStyle w:val="Tabel-Gitter"/>
        <w:tblW w:w="0" w:type="auto"/>
        <w:tblLook w:val="04A0" w:firstRow="1" w:lastRow="0" w:firstColumn="1" w:lastColumn="0" w:noHBand="0" w:noVBand="1"/>
      </w:tblPr>
      <w:tblGrid>
        <w:gridCol w:w="4531"/>
        <w:gridCol w:w="4531"/>
      </w:tblGrid>
      <w:tr w:rsidR="00864DFA" w14:paraId="1B4B642D" w14:textId="77777777" w:rsidTr="00864DFA">
        <w:tc>
          <w:tcPr>
            <w:tcW w:w="4531" w:type="dxa"/>
          </w:tcPr>
          <w:p w14:paraId="50CF0685" w14:textId="6785A7D8" w:rsidR="00864DFA" w:rsidRDefault="00864DFA" w:rsidP="008C7377">
            <w:proofErr w:type="spellStart"/>
            <w:r w:rsidRPr="00864DFA">
              <w:t>Farmakodynamiske</w:t>
            </w:r>
            <w:proofErr w:type="spellEnd"/>
            <w:r w:rsidRPr="00864DFA">
              <w:t xml:space="preserve"> </w:t>
            </w:r>
            <w:proofErr w:type="spellStart"/>
            <w:r w:rsidRPr="00864DFA">
              <w:t>og</w:t>
            </w:r>
            <w:proofErr w:type="spellEnd"/>
            <w:r w:rsidRPr="00864DFA">
              <w:t xml:space="preserve"> </w:t>
            </w:r>
            <w:proofErr w:type="spellStart"/>
            <w:r w:rsidRPr="00864DFA">
              <w:t>farmakokinetiske</w:t>
            </w:r>
            <w:proofErr w:type="spellEnd"/>
            <w:r w:rsidRPr="00864DFA">
              <w:t xml:space="preserve"> </w:t>
            </w:r>
            <w:proofErr w:type="spellStart"/>
            <w:r w:rsidRPr="00864DFA">
              <w:t>faktorer</w:t>
            </w:r>
            <w:proofErr w:type="spellEnd"/>
          </w:p>
        </w:tc>
        <w:tc>
          <w:tcPr>
            <w:tcW w:w="4531" w:type="dxa"/>
          </w:tcPr>
          <w:p w14:paraId="313A0E82" w14:textId="408B5FF9" w:rsidR="00864DFA" w:rsidRDefault="00864DFA" w:rsidP="008C7377">
            <w:r w:rsidRPr="00864DFA">
              <w:t>Alder ≥ 75 år</w:t>
            </w:r>
          </w:p>
        </w:tc>
      </w:tr>
      <w:tr w:rsidR="00864DFA" w:rsidRPr="00DA00F8" w14:paraId="25E1C848" w14:textId="77777777" w:rsidTr="00864DFA">
        <w:tc>
          <w:tcPr>
            <w:tcW w:w="4531" w:type="dxa"/>
          </w:tcPr>
          <w:p w14:paraId="364EC8BF" w14:textId="407B32AB" w:rsidR="00864DFA" w:rsidRPr="00DB2CE6" w:rsidRDefault="00864DFA" w:rsidP="008C7377">
            <w:pPr>
              <w:rPr>
                <w:lang w:val="da-DK"/>
              </w:rPr>
            </w:pPr>
            <w:r w:rsidRPr="00E645B1">
              <w:t>Faktorer, der øger plasmaniveauerne af dabigatran</w:t>
            </w:r>
          </w:p>
        </w:tc>
        <w:tc>
          <w:tcPr>
            <w:tcW w:w="4531" w:type="dxa"/>
          </w:tcPr>
          <w:p w14:paraId="7CC99DD4" w14:textId="77777777" w:rsidR="00864DFA" w:rsidRPr="00DB2CE6" w:rsidRDefault="00864DFA" w:rsidP="00864DFA">
            <w:pPr>
              <w:rPr>
                <w:b/>
                <w:bCs/>
                <w:lang w:val="da-DK"/>
              </w:rPr>
            </w:pPr>
            <w:r w:rsidRPr="00E645B1">
              <w:rPr>
                <w:b/>
                <w:bCs/>
              </w:rPr>
              <w:t>Væsentlige risikofaktorer:</w:t>
            </w:r>
          </w:p>
          <w:p w14:paraId="5DB8C0E1" w14:textId="21339AA1" w:rsidR="00864DFA" w:rsidRPr="00DB2CE6" w:rsidRDefault="00864DFA" w:rsidP="00864DFA">
            <w:pPr>
              <w:rPr>
                <w:lang w:val="da-DK"/>
              </w:rPr>
            </w:pPr>
            <w:r w:rsidRPr="00E645B1">
              <w:t>• Moderat nedsat nyrefunktion (CrCl† 30-50 ml/min)</w:t>
            </w:r>
          </w:p>
          <w:p w14:paraId="13CC631D" w14:textId="5E53558E" w:rsidR="00864DFA" w:rsidRPr="00DB2CE6" w:rsidRDefault="00864DFA" w:rsidP="00864DFA">
            <w:pPr>
              <w:rPr>
                <w:lang w:val="da-DK"/>
              </w:rPr>
            </w:pPr>
            <w:r w:rsidRPr="00E645B1">
              <w:t>• Stærke P-glycoproteinhæmmere (se afsnittet kontraindikationer)</w:t>
            </w:r>
          </w:p>
          <w:p w14:paraId="23030E2D" w14:textId="75CBF83B" w:rsidR="00864DFA" w:rsidRPr="00DB2CE6" w:rsidRDefault="00E01841" w:rsidP="00864DFA">
            <w:pPr>
              <w:rPr>
                <w:lang w:val="da-DK"/>
              </w:rPr>
            </w:pPr>
            <w:r w:rsidRPr="00E645B1">
              <w:t>• Samtidig behandling med milde til moderate P-glycoproteinhæmmere (f.eks. amiodaron, verapamil, quinidin og ticagrelor)</w:t>
            </w:r>
          </w:p>
          <w:p w14:paraId="4743A87E" w14:textId="77777777" w:rsidR="00864DFA" w:rsidRPr="00DB2CE6" w:rsidRDefault="00864DFA" w:rsidP="00864DFA">
            <w:pPr>
              <w:rPr>
                <w:b/>
                <w:bCs/>
                <w:lang w:val="da-DK"/>
              </w:rPr>
            </w:pPr>
            <w:r w:rsidRPr="00E645B1">
              <w:rPr>
                <w:b/>
                <w:bCs/>
              </w:rPr>
              <w:t>Mindre risikofaktorer:</w:t>
            </w:r>
          </w:p>
          <w:p w14:paraId="07781C49" w14:textId="15AE8548" w:rsidR="00864DFA" w:rsidRPr="00DB2CE6" w:rsidRDefault="00864DFA" w:rsidP="00864DFA">
            <w:pPr>
              <w:rPr>
                <w:lang w:val="da-DK"/>
              </w:rPr>
            </w:pPr>
            <w:r w:rsidRPr="00E645B1">
              <w:t>• Lav kropsvægt (&lt; 50 kg)</w:t>
            </w:r>
          </w:p>
        </w:tc>
      </w:tr>
      <w:tr w:rsidR="00A24445" w:rsidRPr="00DA00F8" w14:paraId="1F377FFD" w14:textId="77777777" w:rsidTr="00A24445">
        <w:tc>
          <w:tcPr>
            <w:tcW w:w="4531" w:type="dxa"/>
          </w:tcPr>
          <w:p w14:paraId="4C0F7274" w14:textId="5D51CCB9" w:rsidR="00A24445" w:rsidRDefault="00A24445" w:rsidP="008C7377">
            <w:proofErr w:type="spellStart"/>
            <w:r w:rsidRPr="00A24445">
              <w:t>Farmakodynamiske</w:t>
            </w:r>
            <w:proofErr w:type="spellEnd"/>
            <w:r w:rsidRPr="00A24445">
              <w:t xml:space="preserve"> </w:t>
            </w:r>
            <w:proofErr w:type="spellStart"/>
            <w:r w:rsidRPr="00A24445">
              <w:t>interaktioner</w:t>
            </w:r>
            <w:proofErr w:type="spellEnd"/>
          </w:p>
        </w:tc>
        <w:tc>
          <w:tcPr>
            <w:tcW w:w="4531" w:type="dxa"/>
          </w:tcPr>
          <w:p w14:paraId="34E4FDD3" w14:textId="2224CEEC" w:rsidR="00A24445" w:rsidRPr="00DB2CE6" w:rsidRDefault="00A24445" w:rsidP="00A24445">
            <w:pPr>
              <w:rPr>
                <w:lang w:val="da-DK"/>
              </w:rPr>
            </w:pPr>
            <w:r w:rsidRPr="00E645B1">
              <w:t>• Acetylsalicylsyre og andre trombocythæmmende lægemidler såsom clopidogrel</w:t>
            </w:r>
          </w:p>
          <w:p w14:paraId="4FEA62D7" w14:textId="54B80E3C" w:rsidR="00A24445" w:rsidRPr="00DB2CE6" w:rsidRDefault="00DC28FC" w:rsidP="00A24445">
            <w:pPr>
              <w:rPr>
                <w:lang w:val="da-DK"/>
              </w:rPr>
            </w:pPr>
            <w:r w:rsidRPr="00E645B1">
              <w:t>• NSAID†</w:t>
            </w:r>
          </w:p>
          <w:p w14:paraId="6DDEAE1D" w14:textId="18731724" w:rsidR="00A24445" w:rsidRPr="00DB2CE6" w:rsidRDefault="00A24445" w:rsidP="00A24445">
            <w:pPr>
              <w:rPr>
                <w:lang w:val="da-DK"/>
              </w:rPr>
            </w:pPr>
            <w:r w:rsidRPr="00E645B1">
              <w:t>• SSRI'er eller SNRI'er†</w:t>
            </w:r>
          </w:p>
          <w:p w14:paraId="07A6A5E9" w14:textId="58F3B9A6" w:rsidR="00A24445" w:rsidRPr="00DB2CE6" w:rsidRDefault="00A24445" w:rsidP="00A24445">
            <w:pPr>
              <w:rPr>
                <w:lang w:val="da-DK"/>
              </w:rPr>
            </w:pPr>
            <w:r w:rsidRPr="00E645B1">
              <w:t xml:space="preserve">• Andre </w:t>
            </w:r>
            <w:proofErr w:type="spellStart"/>
            <w:r w:rsidRPr="00E645B1">
              <w:t>lægemidler</w:t>
            </w:r>
            <w:proofErr w:type="spellEnd"/>
            <w:r w:rsidRPr="00E645B1">
              <w:t xml:space="preserve">, der </w:t>
            </w:r>
            <w:proofErr w:type="spellStart"/>
            <w:r w:rsidRPr="00E645B1">
              <w:t>kan</w:t>
            </w:r>
            <w:proofErr w:type="spellEnd"/>
            <w:r w:rsidRPr="00E645B1">
              <w:t xml:space="preserve"> </w:t>
            </w:r>
            <w:proofErr w:type="spellStart"/>
            <w:r w:rsidRPr="00E645B1">
              <w:t>interferere</w:t>
            </w:r>
            <w:proofErr w:type="spellEnd"/>
            <w:r w:rsidRPr="00E645B1">
              <w:t xml:space="preserve"> med </w:t>
            </w:r>
            <w:proofErr w:type="spellStart"/>
            <w:r w:rsidRPr="00E645B1">
              <w:t>hæmostase</w:t>
            </w:r>
            <w:proofErr w:type="spellEnd"/>
          </w:p>
        </w:tc>
      </w:tr>
      <w:tr w:rsidR="00A24445" w:rsidRPr="00DA00F8" w14:paraId="2A68F640" w14:textId="77777777" w:rsidTr="00A24445">
        <w:tc>
          <w:tcPr>
            <w:tcW w:w="4531" w:type="dxa"/>
          </w:tcPr>
          <w:p w14:paraId="2F35C40F" w14:textId="181330B5" w:rsidR="00A24445" w:rsidRPr="00DB2CE6" w:rsidRDefault="00A24445" w:rsidP="008C7377">
            <w:pPr>
              <w:rPr>
                <w:lang w:val="da-DK"/>
              </w:rPr>
            </w:pPr>
            <w:r w:rsidRPr="00E645B1">
              <w:t>Sygdomme/procedurer med særlig risiko for blødning</w:t>
            </w:r>
          </w:p>
        </w:tc>
        <w:tc>
          <w:tcPr>
            <w:tcW w:w="4531" w:type="dxa"/>
          </w:tcPr>
          <w:p w14:paraId="5ED0F54B" w14:textId="5BCE4F0A" w:rsidR="00A24445" w:rsidRPr="00DB2CE6" w:rsidRDefault="00A24445" w:rsidP="00A24445">
            <w:pPr>
              <w:rPr>
                <w:lang w:val="da-DK"/>
              </w:rPr>
            </w:pPr>
            <w:r w:rsidRPr="00E645B1">
              <w:t>• Medfødte eller erhvervede koagulationsforstyrrelser</w:t>
            </w:r>
          </w:p>
          <w:p w14:paraId="115F1C5C" w14:textId="1B3CAE85" w:rsidR="00A24445" w:rsidRPr="00DB2CE6" w:rsidRDefault="00A24445" w:rsidP="00A24445">
            <w:pPr>
              <w:rPr>
                <w:lang w:val="da-DK"/>
              </w:rPr>
            </w:pPr>
            <w:r w:rsidRPr="00E645B1">
              <w:t>• Trombocytopeni eller funktionelle blodpladedefekter</w:t>
            </w:r>
          </w:p>
          <w:p w14:paraId="08CFAE4C" w14:textId="4AAB5279" w:rsidR="00A24445" w:rsidRPr="00DB2CE6" w:rsidRDefault="00A24445" w:rsidP="00A24445">
            <w:pPr>
              <w:rPr>
                <w:lang w:val="da-DK"/>
              </w:rPr>
            </w:pPr>
            <w:r w:rsidRPr="00E645B1">
              <w:t>• Nylig biopsi eller nylige større traumer</w:t>
            </w:r>
          </w:p>
          <w:p w14:paraId="225E47EB" w14:textId="679725A4" w:rsidR="00A24445" w:rsidRPr="00635800" w:rsidRDefault="00A24445" w:rsidP="00A24445">
            <w:pPr>
              <w:rPr>
                <w:lang w:val="da-DK"/>
              </w:rPr>
            </w:pPr>
            <w:r w:rsidRPr="00E645B1">
              <w:t xml:space="preserve">• </w:t>
            </w:r>
            <w:proofErr w:type="spellStart"/>
            <w:r w:rsidRPr="00E645B1">
              <w:t>Bakteriel</w:t>
            </w:r>
            <w:proofErr w:type="spellEnd"/>
            <w:r w:rsidRPr="00E645B1">
              <w:t xml:space="preserve"> </w:t>
            </w:r>
            <w:proofErr w:type="spellStart"/>
            <w:r w:rsidRPr="00E645B1">
              <w:t>endokarditis</w:t>
            </w:r>
            <w:proofErr w:type="spellEnd"/>
          </w:p>
          <w:p w14:paraId="3CAF414D" w14:textId="0EA6AC1D" w:rsidR="00A24445" w:rsidRPr="00DB2CE6" w:rsidRDefault="00A24445" w:rsidP="00A24445">
            <w:pPr>
              <w:rPr>
                <w:lang w:val="da-DK"/>
              </w:rPr>
            </w:pPr>
            <w:r w:rsidRPr="00E645B1">
              <w:t xml:space="preserve">• </w:t>
            </w:r>
            <w:proofErr w:type="spellStart"/>
            <w:r w:rsidRPr="00E645B1">
              <w:t>Esophagitis</w:t>
            </w:r>
            <w:proofErr w:type="spellEnd"/>
            <w:r w:rsidRPr="00E645B1">
              <w:t xml:space="preserve">, </w:t>
            </w:r>
            <w:proofErr w:type="spellStart"/>
            <w:r w:rsidRPr="00E645B1">
              <w:t>gastritis</w:t>
            </w:r>
            <w:proofErr w:type="spellEnd"/>
            <w:r w:rsidRPr="00E645B1">
              <w:t xml:space="preserve"> </w:t>
            </w:r>
            <w:proofErr w:type="spellStart"/>
            <w:r w:rsidRPr="00E645B1">
              <w:t>eller</w:t>
            </w:r>
            <w:proofErr w:type="spellEnd"/>
            <w:r w:rsidRPr="00E645B1">
              <w:t xml:space="preserve"> </w:t>
            </w:r>
            <w:proofErr w:type="spellStart"/>
            <w:r w:rsidRPr="00E645B1">
              <w:t>gastroøsofageal</w:t>
            </w:r>
            <w:proofErr w:type="spellEnd"/>
            <w:r w:rsidRPr="00E645B1">
              <w:t xml:space="preserve"> refluks</w:t>
            </w:r>
          </w:p>
        </w:tc>
      </w:tr>
    </w:tbl>
    <w:p w14:paraId="26A5F4EE" w14:textId="784DEE72" w:rsidR="00265906" w:rsidRPr="00DB2CE6" w:rsidRDefault="00265906" w:rsidP="00265906">
      <w:pPr>
        <w:rPr>
          <w:lang w:val="da-DK"/>
        </w:rPr>
      </w:pPr>
      <w:r w:rsidRPr="00E645B1">
        <w:t>* For specifikke patientpopulationer, der kræver en reduceret dosis, se afsnittet Dosering.</w:t>
      </w:r>
    </w:p>
    <w:p w14:paraId="2E58BBB7" w14:textId="7F39ED0E" w:rsidR="00A24445" w:rsidRPr="00DB2CE6" w:rsidRDefault="00DC28FC" w:rsidP="00265906">
      <w:pPr>
        <w:rPr>
          <w:lang w:val="da-DK"/>
        </w:rPr>
      </w:pPr>
      <w:r w:rsidRPr="00E645B1">
        <w:t xml:space="preserve">† </w:t>
      </w:r>
      <w:proofErr w:type="spellStart"/>
      <w:r w:rsidRPr="00E645B1">
        <w:t>CrCL</w:t>
      </w:r>
      <w:proofErr w:type="spellEnd"/>
      <w:r w:rsidRPr="00E645B1">
        <w:t xml:space="preserve">: </w:t>
      </w:r>
      <w:proofErr w:type="spellStart"/>
      <w:r w:rsidRPr="00E645B1">
        <w:t>kreatininclearance</w:t>
      </w:r>
      <w:proofErr w:type="spellEnd"/>
      <w:r w:rsidRPr="00E645B1">
        <w:t xml:space="preserve">; </w:t>
      </w:r>
      <w:proofErr w:type="spellStart"/>
      <w:r w:rsidRPr="00E645B1">
        <w:t>NSAID'er</w:t>
      </w:r>
      <w:proofErr w:type="spellEnd"/>
      <w:r w:rsidRPr="00E645B1">
        <w:t xml:space="preserve">: </w:t>
      </w:r>
      <w:proofErr w:type="spellStart"/>
      <w:r w:rsidRPr="00E645B1">
        <w:t>ikke</w:t>
      </w:r>
      <w:proofErr w:type="spellEnd"/>
      <w:r w:rsidRPr="00E645B1">
        <w:t xml:space="preserve">-steroide </w:t>
      </w:r>
      <w:proofErr w:type="spellStart"/>
      <w:r w:rsidRPr="00E645B1">
        <w:t>antiinflammatoriske</w:t>
      </w:r>
      <w:proofErr w:type="spellEnd"/>
      <w:r w:rsidRPr="00E645B1">
        <w:t xml:space="preserve"> </w:t>
      </w:r>
      <w:proofErr w:type="spellStart"/>
      <w:r w:rsidRPr="00E645B1">
        <w:t>lægemidler</w:t>
      </w:r>
      <w:proofErr w:type="spellEnd"/>
      <w:r w:rsidRPr="00E645B1">
        <w:t xml:space="preserve">; </w:t>
      </w:r>
      <w:proofErr w:type="spellStart"/>
      <w:r w:rsidRPr="00E645B1">
        <w:t>SSRI'er</w:t>
      </w:r>
      <w:proofErr w:type="spellEnd"/>
      <w:r w:rsidRPr="00E645B1">
        <w:t xml:space="preserve">: Selektive </w:t>
      </w:r>
      <w:proofErr w:type="spellStart"/>
      <w:r w:rsidRPr="00E645B1">
        <w:t>serotonin</w:t>
      </w:r>
      <w:proofErr w:type="spellEnd"/>
      <w:r w:rsidRPr="00E645B1">
        <w:t xml:space="preserve"> </w:t>
      </w:r>
      <w:proofErr w:type="spellStart"/>
      <w:r w:rsidRPr="00E645B1">
        <w:t>genoptagelseshæmmere</w:t>
      </w:r>
      <w:proofErr w:type="spellEnd"/>
      <w:r w:rsidRPr="00E645B1">
        <w:t xml:space="preserve">; SNRI: Serotonin-noradrenalin </w:t>
      </w:r>
      <w:proofErr w:type="spellStart"/>
      <w:r w:rsidRPr="00E645B1">
        <w:t>reuptake</w:t>
      </w:r>
      <w:proofErr w:type="spellEnd"/>
      <w:r w:rsidRPr="00E645B1">
        <w:t xml:space="preserve"> </w:t>
      </w:r>
      <w:proofErr w:type="spellStart"/>
      <w:r w:rsidRPr="00E645B1">
        <w:t>hæmmere</w:t>
      </w:r>
      <w:proofErr w:type="spellEnd"/>
      <w:r w:rsidRPr="00E645B1">
        <w:t>.</w:t>
      </w:r>
    </w:p>
    <w:p w14:paraId="57392B08" w14:textId="558B34FD" w:rsidR="00265906" w:rsidRPr="00DB2CE6" w:rsidRDefault="00265906" w:rsidP="008C7377">
      <w:pPr>
        <w:rPr>
          <w:lang w:val="da-DK"/>
        </w:rPr>
      </w:pPr>
    </w:p>
    <w:p w14:paraId="587C9F22" w14:textId="77777777" w:rsidR="00BF44A1" w:rsidRPr="00DB2CE6" w:rsidRDefault="00BF44A1" w:rsidP="008C7377">
      <w:pPr>
        <w:rPr>
          <w:lang w:val="da-DK"/>
        </w:rPr>
      </w:pPr>
    </w:p>
    <w:p w14:paraId="66AACE77" w14:textId="2B0763C5" w:rsidR="00BF44A1" w:rsidRPr="00DB2CE6" w:rsidRDefault="00BF44A1" w:rsidP="008C7377">
      <w:pPr>
        <w:rPr>
          <w:b/>
          <w:bCs/>
          <w:sz w:val="28"/>
          <w:szCs w:val="28"/>
          <w:lang w:val="da-DK"/>
        </w:rPr>
      </w:pPr>
      <w:bookmarkStart w:id="5" w:name="_Toc161922288"/>
      <w:r w:rsidRPr="00E645B1">
        <w:rPr>
          <w:rStyle w:val="Overskrift1Tegn"/>
        </w:rPr>
        <w:t>Perioperativ behandling af antikoagulation</w:t>
      </w:r>
      <w:bookmarkEnd w:id="5"/>
      <w:r w:rsidRPr="00E645B1">
        <w:rPr>
          <w:b/>
          <w:bCs/>
          <w:sz w:val="28"/>
          <w:szCs w:val="28"/>
          <w:vertAlign w:val="superscript"/>
        </w:rPr>
        <w:t>1</w:t>
      </w:r>
    </w:p>
    <w:p w14:paraId="10EE600A" w14:textId="77777777" w:rsidR="00B8420D" w:rsidRPr="00DB2CE6" w:rsidRDefault="00B8420D" w:rsidP="00B8420D">
      <w:pPr>
        <w:rPr>
          <w:b/>
          <w:bCs/>
          <w:lang w:val="da-DK"/>
        </w:rPr>
      </w:pPr>
      <w:r w:rsidRPr="00E645B1">
        <w:rPr>
          <w:b/>
          <w:bCs/>
        </w:rPr>
        <w:t>Kirurgiske og invasive indgreb</w:t>
      </w:r>
    </w:p>
    <w:p w14:paraId="50F24099" w14:textId="77777777" w:rsidR="008E0330" w:rsidRPr="008E0330" w:rsidRDefault="008E0330" w:rsidP="008E0330">
      <w:proofErr w:type="spellStart"/>
      <w:r w:rsidRPr="008E0330">
        <w:t>Patienter</w:t>
      </w:r>
      <w:proofErr w:type="spellEnd"/>
      <w:r w:rsidRPr="008E0330">
        <w:t xml:space="preserve">, der </w:t>
      </w:r>
      <w:proofErr w:type="spellStart"/>
      <w:r w:rsidRPr="008E0330">
        <w:t>gennemgår</w:t>
      </w:r>
      <w:proofErr w:type="spellEnd"/>
      <w:r w:rsidRPr="008E0330">
        <w:t xml:space="preserve"> </w:t>
      </w:r>
      <w:proofErr w:type="spellStart"/>
      <w:r w:rsidRPr="008E0330">
        <w:t>operation</w:t>
      </w:r>
      <w:proofErr w:type="spellEnd"/>
      <w:r w:rsidRPr="008E0330">
        <w:t xml:space="preserve"> </w:t>
      </w:r>
      <w:proofErr w:type="spellStart"/>
      <w:r w:rsidRPr="008E0330">
        <w:t>eller</w:t>
      </w:r>
      <w:proofErr w:type="spellEnd"/>
      <w:r w:rsidRPr="008E0330">
        <w:t xml:space="preserve"> invasive </w:t>
      </w:r>
      <w:proofErr w:type="spellStart"/>
      <w:r w:rsidRPr="008E0330">
        <w:t>procedurer</w:t>
      </w:r>
      <w:proofErr w:type="spellEnd"/>
      <w:r w:rsidRPr="008E0330">
        <w:t xml:space="preserve">, har en </w:t>
      </w:r>
      <w:proofErr w:type="spellStart"/>
      <w:r w:rsidRPr="008E0330">
        <w:t>øget</w:t>
      </w:r>
      <w:proofErr w:type="spellEnd"/>
      <w:r w:rsidRPr="008E0330">
        <w:t xml:space="preserve"> </w:t>
      </w:r>
      <w:proofErr w:type="spellStart"/>
      <w:r w:rsidRPr="008E0330">
        <w:t>risiko</w:t>
      </w:r>
      <w:proofErr w:type="spellEnd"/>
      <w:r w:rsidRPr="008E0330">
        <w:t xml:space="preserve"> </w:t>
      </w:r>
      <w:proofErr w:type="spellStart"/>
      <w:r w:rsidRPr="008E0330">
        <w:t>for</w:t>
      </w:r>
      <w:proofErr w:type="spellEnd"/>
      <w:r w:rsidRPr="008E0330">
        <w:t xml:space="preserve"> </w:t>
      </w:r>
      <w:proofErr w:type="spellStart"/>
      <w:r w:rsidRPr="008E0330">
        <w:t>blødning</w:t>
      </w:r>
      <w:proofErr w:type="spellEnd"/>
      <w:r w:rsidRPr="008E0330">
        <w:t xml:space="preserve">. </w:t>
      </w:r>
      <w:proofErr w:type="spellStart"/>
      <w:r w:rsidRPr="008E0330">
        <w:t>Derfor</w:t>
      </w:r>
      <w:proofErr w:type="spellEnd"/>
      <w:r w:rsidRPr="008E0330">
        <w:t xml:space="preserve"> </w:t>
      </w:r>
      <w:proofErr w:type="spellStart"/>
      <w:r w:rsidRPr="008E0330">
        <w:t>kan</w:t>
      </w:r>
      <w:proofErr w:type="spellEnd"/>
      <w:r w:rsidRPr="008E0330">
        <w:t xml:space="preserve"> </w:t>
      </w:r>
      <w:proofErr w:type="spellStart"/>
      <w:r w:rsidRPr="008E0330">
        <w:t>midlertidig</w:t>
      </w:r>
      <w:proofErr w:type="spellEnd"/>
      <w:r w:rsidRPr="008E0330">
        <w:t xml:space="preserve"> seponering </w:t>
      </w:r>
      <w:proofErr w:type="spellStart"/>
      <w:r w:rsidRPr="008E0330">
        <w:t>af</w:t>
      </w:r>
      <w:proofErr w:type="spellEnd"/>
      <w:r w:rsidRPr="008E0330">
        <w:t xml:space="preserve"> </w:t>
      </w:r>
      <w:proofErr w:type="spellStart"/>
      <w:r w:rsidRPr="008E0330">
        <w:t>dabigatranetexilat</w:t>
      </w:r>
      <w:proofErr w:type="spellEnd"/>
      <w:r w:rsidRPr="008E0330">
        <w:t xml:space="preserve"> </w:t>
      </w:r>
      <w:proofErr w:type="spellStart"/>
      <w:r w:rsidRPr="008E0330">
        <w:t>være</w:t>
      </w:r>
      <w:proofErr w:type="spellEnd"/>
      <w:r w:rsidRPr="008E0330">
        <w:t xml:space="preserve"> </w:t>
      </w:r>
      <w:proofErr w:type="spellStart"/>
      <w:r w:rsidRPr="008E0330">
        <w:t>nødvendigt</w:t>
      </w:r>
      <w:proofErr w:type="spellEnd"/>
      <w:r w:rsidRPr="008E0330">
        <w:t>.</w:t>
      </w:r>
    </w:p>
    <w:p w14:paraId="728A2E34" w14:textId="006E0DF3" w:rsidR="00B8420D" w:rsidRPr="00DB2CE6" w:rsidRDefault="00B8420D" w:rsidP="00B8420D">
      <w:pPr>
        <w:rPr>
          <w:lang w:val="da-DK"/>
        </w:rPr>
      </w:pPr>
      <w:r w:rsidRPr="00E645B1">
        <w:lastRenderedPageBreak/>
        <w:t xml:space="preserve">Hos </w:t>
      </w:r>
      <w:proofErr w:type="spellStart"/>
      <w:r w:rsidRPr="00E645B1">
        <w:t>patienter</w:t>
      </w:r>
      <w:proofErr w:type="spellEnd"/>
      <w:r w:rsidRPr="00E645B1">
        <w:t xml:space="preserve">, der </w:t>
      </w:r>
      <w:proofErr w:type="spellStart"/>
      <w:r w:rsidRPr="00E645B1">
        <w:t>gennemgår</w:t>
      </w:r>
      <w:proofErr w:type="spellEnd"/>
      <w:r w:rsidRPr="00E645B1">
        <w:t xml:space="preserve"> </w:t>
      </w:r>
      <w:proofErr w:type="spellStart"/>
      <w:r w:rsidRPr="00E645B1">
        <w:t>kateterablation</w:t>
      </w:r>
      <w:proofErr w:type="spellEnd"/>
      <w:r w:rsidRPr="00E645B1">
        <w:t xml:space="preserve"> </w:t>
      </w:r>
      <w:proofErr w:type="spellStart"/>
      <w:r w:rsidRPr="00E645B1">
        <w:t>af</w:t>
      </w:r>
      <w:proofErr w:type="spellEnd"/>
      <w:r w:rsidRPr="00E645B1">
        <w:t xml:space="preserve"> </w:t>
      </w:r>
      <w:proofErr w:type="spellStart"/>
      <w:r w:rsidRPr="00E645B1">
        <w:t>atrieflimren</w:t>
      </w:r>
      <w:proofErr w:type="spellEnd"/>
      <w:r w:rsidRPr="00E645B1">
        <w:t xml:space="preserve">, er </w:t>
      </w:r>
      <w:proofErr w:type="spellStart"/>
      <w:r w:rsidRPr="00E645B1">
        <w:t>det</w:t>
      </w:r>
      <w:proofErr w:type="spellEnd"/>
      <w:r w:rsidRPr="00E645B1">
        <w:t xml:space="preserve"> </w:t>
      </w:r>
      <w:proofErr w:type="spellStart"/>
      <w:r w:rsidRPr="00E645B1">
        <w:t>ikke</w:t>
      </w:r>
      <w:proofErr w:type="spellEnd"/>
      <w:r w:rsidRPr="00E645B1">
        <w:t xml:space="preserve"> </w:t>
      </w:r>
      <w:proofErr w:type="spellStart"/>
      <w:r w:rsidRPr="00E645B1">
        <w:t>nødvendigt</w:t>
      </w:r>
      <w:proofErr w:type="spellEnd"/>
      <w:r w:rsidRPr="00E645B1">
        <w:t xml:space="preserve"> at </w:t>
      </w:r>
      <w:proofErr w:type="spellStart"/>
      <w:r w:rsidRPr="00E645B1">
        <w:t>afbryde</w:t>
      </w:r>
      <w:proofErr w:type="spellEnd"/>
      <w:r w:rsidRPr="00E645B1">
        <w:t xml:space="preserve"> </w:t>
      </w:r>
      <w:proofErr w:type="spellStart"/>
      <w:r w:rsidRPr="00E645B1">
        <w:t>behandlingen</w:t>
      </w:r>
      <w:proofErr w:type="spellEnd"/>
      <w:r w:rsidRPr="00E645B1">
        <w:t xml:space="preserve"> med </w:t>
      </w:r>
      <w:proofErr w:type="spellStart"/>
      <w:r w:rsidRPr="00E645B1">
        <w:t>dabigatranetexilat</w:t>
      </w:r>
      <w:proofErr w:type="spellEnd"/>
      <w:r w:rsidRPr="00E645B1">
        <w:t xml:space="preserve"> (150 mg </w:t>
      </w:r>
      <w:proofErr w:type="spellStart"/>
      <w:r w:rsidRPr="00E645B1">
        <w:t>to</w:t>
      </w:r>
      <w:proofErr w:type="spellEnd"/>
      <w:r w:rsidRPr="00E645B1">
        <w:t xml:space="preserve"> </w:t>
      </w:r>
      <w:proofErr w:type="spellStart"/>
      <w:r w:rsidRPr="00E645B1">
        <w:t>gange</w:t>
      </w:r>
      <w:proofErr w:type="spellEnd"/>
      <w:r w:rsidRPr="00E645B1">
        <w:t xml:space="preserve"> </w:t>
      </w:r>
      <w:proofErr w:type="spellStart"/>
      <w:r w:rsidRPr="00E645B1">
        <w:t>dagligt</w:t>
      </w:r>
      <w:proofErr w:type="spellEnd"/>
      <w:r w:rsidRPr="00E645B1">
        <w:t>).</w:t>
      </w:r>
    </w:p>
    <w:p w14:paraId="1D622B3D" w14:textId="77777777" w:rsidR="002B028A" w:rsidRPr="002B028A" w:rsidRDefault="002B028A" w:rsidP="002B028A">
      <w:r w:rsidRPr="002B028A">
        <w:t xml:space="preserve">Clearance </w:t>
      </w:r>
      <w:proofErr w:type="spellStart"/>
      <w:r w:rsidRPr="002B028A">
        <w:t>af</w:t>
      </w:r>
      <w:proofErr w:type="spellEnd"/>
      <w:r w:rsidRPr="002B028A">
        <w:t xml:space="preserve"> </w:t>
      </w:r>
      <w:proofErr w:type="spellStart"/>
      <w:r w:rsidRPr="002B028A">
        <w:t>dabigatran</w:t>
      </w:r>
      <w:proofErr w:type="spellEnd"/>
      <w:r w:rsidRPr="002B028A">
        <w:t xml:space="preserve"> </w:t>
      </w:r>
      <w:proofErr w:type="spellStart"/>
      <w:r w:rsidRPr="002B028A">
        <w:t>kan</w:t>
      </w:r>
      <w:proofErr w:type="spellEnd"/>
      <w:r w:rsidRPr="002B028A">
        <w:t xml:space="preserve"> tage </w:t>
      </w:r>
      <w:proofErr w:type="spellStart"/>
      <w:r w:rsidRPr="002B028A">
        <w:t>længere</w:t>
      </w:r>
      <w:proofErr w:type="spellEnd"/>
      <w:r w:rsidRPr="002B028A">
        <w:t xml:space="preserve"> </w:t>
      </w:r>
      <w:proofErr w:type="spellStart"/>
      <w:r w:rsidRPr="002B028A">
        <w:t>tid</w:t>
      </w:r>
      <w:proofErr w:type="spellEnd"/>
      <w:r w:rsidRPr="002B028A">
        <w:t xml:space="preserve"> </w:t>
      </w:r>
      <w:proofErr w:type="spellStart"/>
      <w:r w:rsidRPr="002B028A">
        <w:t>hos</w:t>
      </w:r>
      <w:proofErr w:type="spellEnd"/>
      <w:r w:rsidRPr="002B028A">
        <w:t xml:space="preserve"> </w:t>
      </w:r>
      <w:proofErr w:type="spellStart"/>
      <w:r w:rsidRPr="002B028A">
        <w:t>patienter</w:t>
      </w:r>
      <w:proofErr w:type="spellEnd"/>
      <w:r w:rsidRPr="002B028A">
        <w:t xml:space="preserve"> med </w:t>
      </w:r>
      <w:proofErr w:type="spellStart"/>
      <w:r w:rsidRPr="002B028A">
        <w:t>nyreinsufficiens</w:t>
      </w:r>
      <w:proofErr w:type="spellEnd"/>
      <w:r w:rsidRPr="002B028A">
        <w:t xml:space="preserve">. </w:t>
      </w:r>
      <w:proofErr w:type="spellStart"/>
      <w:r w:rsidRPr="002B028A">
        <w:t>Dette</w:t>
      </w:r>
      <w:proofErr w:type="spellEnd"/>
      <w:r w:rsidRPr="002B028A">
        <w:t xml:space="preserve"> </w:t>
      </w:r>
      <w:proofErr w:type="spellStart"/>
      <w:r w:rsidRPr="002B028A">
        <w:t>bør</w:t>
      </w:r>
      <w:proofErr w:type="spellEnd"/>
      <w:r w:rsidRPr="002B028A">
        <w:t xml:space="preserve"> </w:t>
      </w:r>
      <w:proofErr w:type="spellStart"/>
      <w:r w:rsidRPr="002B028A">
        <w:t>altid</w:t>
      </w:r>
      <w:proofErr w:type="spellEnd"/>
      <w:r w:rsidRPr="002B028A">
        <w:t xml:space="preserve"> </w:t>
      </w:r>
      <w:proofErr w:type="spellStart"/>
      <w:r w:rsidRPr="002B028A">
        <w:t>tages</w:t>
      </w:r>
      <w:proofErr w:type="spellEnd"/>
      <w:r w:rsidRPr="002B028A">
        <w:t xml:space="preserve"> i </w:t>
      </w:r>
      <w:proofErr w:type="spellStart"/>
      <w:r w:rsidRPr="002B028A">
        <w:t>betragtning</w:t>
      </w:r>
      <w:proofErr w:type="spellEnd"/>
      <w:r w:rsidRPr="002B028A">
        <w:t xml:space="preserve">, </w:t>
      </w:r>
      <w:proofErr w:type="spellStart"/>
      <w:r w:rsidRPr="002B028A">
        <w:t>inden</w:t>
      </w:r>
      <w:proofErr w:type="spellEnd"/>
      <w:r w:rsidRPr="002B028A">
        <w:t xml:space="preserve"> eventuelle </w:t>
      </w:r>
      <w:proofErr w:type="spellStart"/>
      <w:r w:rsidRPr="002B028A">
        <w:t>indgreb</w:t>
      </w:r>
      <w:proofErr w:type="spellEnd"/>
      <w:r w:rsidRPr="002B028A">
        <w:t>.</w:t>
      </w:r>
    </w:p>
    <w:p w14:paraId="4AF255F3" w14:textId="77777777" w:rsidR="00B8420D" w:rsidRPr="00DB2CE6" w:rsidRDefault="00B8420D" w:rsidP="00B8420D">
      <w:pPr>
        <w:rPr>
          <w:lang w:val="da-DK"/>
        </w:rPr>
      </w:pPr>
    </w:p>
    <w:p w14:paraId="4DD82CD5" w14:textId="77777777" w:rsidR="00B8420D" w:rsidRPr="00DB2CE6" w:rsidRDefault="00B8420D" w:rsidP="00B8420D">
      <w:pPr>
        <w:rPr>
          <w:b/>
          <w:bCs/>
          <w:lang w:val="da-DK"/>
        </w:rPr>
      </w:pPr>
      <w:r w:rsidRPr="00E645B1">
        <w:rPr>
          <w:b/>
          <w:bCs/>
        </w:rPr>
        <w:t>Nødoperationer eller hasteprocedurer</w:t>
      </w:r>
    </w:p>
    <w:p w14:paraId="793CD43F" w14:textId="5609798C" w:rsidR="00B8420D" w:rsidRPr="00DB2CE6" w:rsidRDefault="00B8420D" w:rsidP="00B8420D">
      <w:pPr>
        <w:rPr>
          <w:lang w:val="da-DK"/>
        </w:rPr>
      </w:pPr>
      <w:proofErr w:type="spellStart"/>
      <w:r w:rsidRPr="00E645B1">
        <w:t>D</w:t>
      </w:r>
      <w:r w:rsidR="00982887" w:rsidRPr="00982887">
        <w:t>abigatranetexilat</w:t>
      </w:r>
      <w:proofErr w:type="spellEnd"/>
      <w:r w:rsidRPr="00E645B1">
        <w:t xml:space="preserve"> </w:t>
      </w:r>
      <w:proofErr w:type="spellStart"/>
      <w:r w:rsidRPr="00E645B1">
        <w:t>bør</w:t>
      </w:r>
      <w:proofErr w:type="spellEnd"/>
      <w:r w:rsidRPr="00E645B1">
        <w:t xml:space="preserve"> </w:t>
      </w:r>
      <w:proofErr w:type="spellStart"/>
      <w:r w:rsidRPr="00E645B1">
        <w:t>midlertidigt</w:t>
      </w:r>
      <w:proofErr w:type="spellEnd"/>
      <w:r w:rsidRPr="00E645B1">
        <w:t xml:space="preserve"> </w:t>
      </w:r>
      <w:proofErr w:type="spellStart"/>
      <w:r w:rsidRPr="00E645B1">
        <w:t>seponeres</w:t>
      </w:r>
      <w:proofErr w:type="spellEnd"/>
      <w:r w:rsidRPr="00E645B1">
        <w:t xml:space="preserve">. </w:t>
      </w:r>
      <w:proofErr w:type="spellStart"/>
      <w:r w:rsidRPr="00E645B1">
        <w:t>Hvis</w:t>
      </w:r>
      <w:proofErr w:type="spellEnd"/>
      <w:r w:rsidRPr="00E645B1">
        <w:t xml:space="preserve"> hurtig </w:t>
      </w:r>
      <w:proofErr w:type="spellStart"/>
      <w:r w:rsidRPr="00E645B1">
        <w:t>ophør</w:t>
      </w:r>
      <w:proofErr w:type="spellEnd"/>
      <w:r w:rsidRPr="00E645B1">
        <w:t xml:space="preserve"> </w:t>
      </w:r>
      <w:proofErr w:type="spellStart"/>
      <w:r w:rsidRPr="00E645B1">
        <w:t>af</w:t>
      </w:r>
      <w:proofErr w:type="spellEnd"/>
      <w:r w:rsidRPr="00E645B1">
        <w:t xml:space="preserve"> den </w:t>
      </w:r>
      <w:proofErr w:type="spellStart"/>
      <w:r w:rsidRPr="00E645B1">
        <w:t>antikoagulerende</w:t>
      </w:r>
      <w:proofErr w:type="spellEnd"/>
      <w:r w:rsidRPr="00E645B1">
        <w:t xml:space="preserve"> </w:t>
      </w:r>
      <w:proofErr w:type="spellStart"/>
      <w:r w:rsidRPr="00E645B1">
        <w:t>virkning</w:t>
      </w:r>
      <w:proofErr w:type="spellEnd"/>
      <w:r w:rsidRPr="00E645B1">
        <w:t xml:space="preserve"> er </w:t>
      </w:r>
      <w:proofErr w:type="spellStart"/>
      <w:r w:rsidRPr="00E645B1">
        <w:t>påkrævet</w:t>
      </w:r>
      <w:proofErr w:type="spellEnd"/>
      <w:r w:rsidRPr="00E645B1">
        <w:t xml:space="preserve">, er en </w:t>
      </w:r>
      <w:proofErr w:type="spellStart"/>
      <w:r w:rsidRPr="00E645B1">
        <w:t>specifik</w:t>
      </w:r>
      <w:proofErr w:type="spellEnd"/>
      <w:r w:rsidRPr="00E645B1">
        <w:t xml:space="preserve"> </w:t>
      </w:r>
      <w:proofErr w:type="spellStart"/>
      <w:r w:rsidRPr="00E645B1">
        <w:t>modgift</w:t>
      </w:r>
      <w:proofErr w:type="spellEnd"/>
      <w:r w:rsidRPr="00E645B1">
        <w:t xml:space="preserve"> (</w:t>
      </w:r>
      <w:proofErr w:type="spellStart"/>
      <w:r w:rsidRPr="00E645B1">
        <w:t>idarucizumab</w:t>
      </w:r>
      <w:proofErr w:type="spellEnd"/>
      <w:r w:rsidRPr="00E645B1">
        <w:t xml:space="preserve">) </w:t>
      </w:r>
      <w:proofErr w:type="spellStart"/>
      <w:r w:rsidRPr="00E645B1">
        <w:t>mod</w:t>
      </w:r>
      <w:proofErr w:type="spellEnd"/>
      <w:r w:rsidRPr="00E645B1">
        <w:t xml:space="preserve"> </w:t>
      </w:r>
      <w:proofErr w:type="spellStart"/>
      <w:r w:rsidRPr="00E645B1">
        <w:t>dabigatranetexilat</w:t>
      </w:r>
      <w:proofErr w:type="spellEnd"/>
      <w:r w:rsidRPr="00E645B1">
        <w:t xml:space="preserve"> </w:t>
      </w:r>
      <w:proofErr w:type="spellStart"/>
      <w:r w:rsidRPr="00E645B1">
        <w:t>tilgængelig</w:t>
      </w:r>
      <w:proofErr w:type="spellEnd"/>
      <w:r w:rsidRPr="00E645B1">
        <w:t>.</w:t>
      </w:r>
    </w:p>
    <w:p w14:paraId="2DA7722B" w14:textId="77777777" w:rsidR="00B8420D" w:rsidRPr="00DB2CE6" w:rsidRDefault="00B8420D" w:rsidP="00B8420D">
      <w:pPr>
        <w:rPr>
          <w:lang w:val="da-DK"/>
        </w:rPr>
      </w:pPr>
      <w:r w:rsidRPr="00E645B1">
        <w:t xml:space="preserve">Ved at afbryde behandlingen med dabigatran udsættes patienterne for den trombotiske risiko for deres underliggende sygdom. </w:t>
      </w:r>
      <w:proofErr w:type="spellStart"/>
      <w:r w:rsidRPr="00E645B1">
        <w:t>Behandling</w:t>
      </w:r>
      <w:proofErr w:type="spellEnd"/>
      <w:r w:rsidRPr="00E645B1">
        <w:t xml:space="preserve"> med </w:t>
      </w:r>
      <w:proofErr w:type="spellStart"/>
      <w:r w:rsidRPr="00E645B1">
        <w:t>dabigatranetexilat</w:t>
      </w:r>
      <w:proofErr w:type="spellEnd"/>
      <w:r w:rsidRPr="00E645B1">
        <w:t xml:space="preserve"> </w:t>
      </w:r>
      <w:proofErr w:type="spellStart"/>
      <w:r w:rsidRPr="00E645B1">
        <w:t>kan</w:t>
      </w:r>
      <w:proofErr w:type="spellEnd"/>
      <w:r w:rsidRPr="00E645B1">
        <w:t xml:space="preserve"> </w:t>
      </w:r>
      <w:proofErr w:type="spellStart"/>
      <w:r w:rsidRPr="00E645B1">
        <w:t>genoptages</w:t>
      </w:r>
      <w:proofErr w:type="spellEnd"/>
      <w:r w:rsidRPr="00E645B1">
        <w:t xml:space="preserve"> 24 </w:t>
      </w:r>
      <w:proofErr w:type="spellStart"/>
      <w:r w:rsidRPr="00E645B1">
        <w:t>timer</w:t>
      </w:r>
      <w:proofErr w:type="spellEnd"/>
      <w:r w:rsidRPr="00E645B1">
        <w:t xml:space="preserve"> </w:t>
      </w:r>
      <w:proofErr w:type="spellStart"/>
      <w:r w:rsidRPr="00E645B1">
        <w:t>efter</w:t>
      </w:r>
      <w:proofErr w:type="spellEnd"/>
      <w:r w:rsidRPr="00E645B1">
        <w:t xml:space="preserve"> </w:t>
      </w:r>
      <w:proofErr w:type="spellStart"/>
      <w:r w:rsidRPr="00E645B1">
        <w:t>brug</w:t>
      </w:r>
      <w:proofErr w:type="spellEnd"/>
      <w:r w:rsidRPr="00E645B1">
        <w:t xml:space="preserve"> </w:t>
      </w:r>
      <w:proofErr w:type="spellStart"/>
      <w:r w:rsidRPr="00E645B1">
        <w:t>af</w:t>
      </w:r>
      <w:proofErr w:type="spellEnd"/>
      <w:r w:rsidRPr="00E645B1">
        <w:t xml:space="preserve"> </w:t>
      </w:r>
      <w:proofErr w:type="spellStart"/>
      <w:r w:rsidRPr="00E645B1">
        <w:t>idarucizumab</w:t>
      </w:r>
      <w:proofErr w:type="spellEnd"/>
      <w:r w:rsidRPr="00E645B1">
        <w:t xml:space="preserve">, </w:t>
      </w:r>
      <w:proofErr w:type="spellStart"/>
      <w:r w:rsidRPr="00E645B1">
        <w:t>hvis</w:t>
      </w:r>
      <w:proofErr w:type="spellEnd"/>
      <w:r w:rsidRPr="00E645B1">
        <w:t xml:space="preserve"> </w:t>
      </w:r>
      <w:proofErr w:type="spellStart"/>
      <w:r w:rsidRPr="00E645B1">
        <w:t>patienten</w:t>
      </w:r>
      <w:proofErr w:type="spellEnd"/>
      <w:r w:rsidRPr="00E645B1">
        <w:t xml:space="preserve"> er </w:t>
      </w:r>
      <w:proofErr w:type="spellStart"/>
      <w:r w:rsidRPr="00E645B1">
        <w:t>klinisk</w:t>
      </w:r>
      <w:proofErr w:type="spellEnd"/>
      <w:r w:rsidRPr="00E645B1">
        <w:t xml:space="preserve"> stabil, </w:t>
      </w:r>
      <w:proofErr w:type="spellStart"/>
      <w:r w:rsidRPr="00E645B1">
        <w:t>og</w:t>
      </w:r>
      <w:proofErr w:type="spellEnd"/>
      <w:r w:rsidRPr="00E645B1">
        <w:t xml:space="preserve"> der er </w:t>
      </w:r>
      <w:proofErr w:type="spellStart"/>
      <w:r w:rsidRPr="00E645B1">
        <w:t>opnået</w:t>
      </w:r>
      <w:proofErr w:type="spellEnd"/>
      <w:r w:rsidRPr="00E645B1">
        <w:t xml:space="preserve"> </w:t>
      </w:r>
      <w:proofErr w:type="spellStart"/>
      <w:r w:rsidRPr="00E645B1">
        <w:t>tilstrækkelig</w:t>
      </w:r>
      <w:proofErr w:type="spellEnd"/>
      <w:r w:rsidRPr="00E645B1">
        <w:t xml:space="preserve"> </w:t>
      </w:r>
      <w:proofErr w:type="spellStart"/>
      <w:r w:rsidRPr="00E645B1">
        <w:t>hæmostase</w:t>
      </w:r>
      <w:proofErr w:type="spellEnd"/>
      <w:r w:rsidRPr="00E645B1">
        <w:t>.</w:t>
      </w:r>
    </w:p>
    <w:p w14:paraId="0BD3AA13" w14:textId="77777777" w:rsidR="00B8420D" w:rsidRPr="00DB2CE6" w:rsidRDefault="00B8420D" w:rsidP="00B8420D">
      <w:pPr>
        <w:rPr>
          <w:lang w:val="da-DK"/>
        </w:rPr>
      </w:pPr>
    </w:p>
    <w:p w14:paraId="52305532" w14:textId="6F664FF4" w:rsidR="00B8420D" w:rsidRPr="00DB2CE6" w:rsidRDefault="00B8420D" w:rsidP="00B8420D">
      <w:pPr>
        <w:rPr>
          <w:b/>
          <w:bCs/>
          <w:lang w:val="da-DK"/>
        </w:rPr>
      </w:pPr>
      <w:r w:rsidRPr="00E645B1">
        <w:rPr>
          <w:b/>
          <w:bCs/>
        </w:rPr>
        <w:t>Subakut kirurgi / interventioner</w:t>
      </w:r>
    </w:p>
    <w:p w14:paraId="4E0069C7" w14:textId="024E1A0C" w:rsidR="00265906" w:rsidRPr="00DB2CE6" w:rsidRDefault="00B8420D" w:rsidP="00B8420D">
      <w:pPr>
        <w:rPr>
          <w:lang w:val="da-DK"/>
        </w:rPr>
      </w:pPr>
      <w:proofErr w:type="spellStart"/>
      <w:r w:rsidRPr="00E645B1">
        <w:t>D</w:t>
      </w:r>
      <w:r w:rsidR="00CD2710" w:rsidRPr="00CD2710">
        <w:t>abigatranetexilat</w:t>
      </w:r>
      <w:proofErr w:type="spellEnd"/>
      <w:r w:rsidRPr="00E645B1">
        <w:t xml:space="preserve"> </w:t>
      </w:r>
      <w:proofErr w:type="spellStart"/>
      <w:r w:rsidRPr="00E645B1">
        <w:t>bør</w:t>
      </w:r>
      <w:proofErr w:type="spellEnd"/>
      <w:r w:rsidRPr="00E645B1">
        <w:t xml:space="preserve"> </w:t>
      </w:r>
      <w:proofErr w:type="spellStart"/>
      <w:r w:rsidRPr="00E645B1">
        <w:t>midlertidigt</w:t>
      </w:r>
      <w:proofErr w:type="spellEnd"/>
      <w:r w:rsidRPr="00E645B1">
        <w:t xml:space="preserve"> </w:t>
      </w:r>
      <w:proofErr w:type="spellStart"/>
      <w:r w:rsidRPr="00E645B1">
        <w:t>seponeres</w:t>
      </w:r>
      <w:proofErr w:type="spellEnd"/>
      <w:r w:rsidRPr="00E645B1">
        <w:t xml:space="preserve">. Hvis det er muligt, skal kirurgi udføres tidligst 12 timer efter den sidste dosis. Hvis proceduren ikke kan udskydes, kan der være en øget risiko for blødning. </w:t>
      </w:r>
      <w:proofErr w:type="spellStart"/>
      <w:r w:rsidRPr="00E645B1">
        <w:t>Risikoen</w:t>
      </w:r>
      <w:proofErr w:type="spellEnd"/>
      <w:r w:rsidRPr="00E645B1">
        <w:t xml:space="preserve"> </w:t>
      </w:r>
      <w:proofErr w:type="spellStart"/>
      <w:r w:rsidRPr="00E645B1">
        <w:t>for</w:t>
      </w:r>
      <w:proofErr w:type="spellEnd"/>
      <w:r w:rsidRPr="00E645B1">
        <w:t xml:space="preserve"> </w:t>
      </w:r>
      <w:proofErr w:type="spellStart"/>
      <w:r w:rsidRPr="00E645B1">
        <w:t>blødning</w:t>
      </w:r>
      <w:proofErr w:type="spellEnd"/>
      <w:r w:rsidRPr="00E645B1">
        <w:t xml:space="preserve"> </w:t>
      </w:r>
      <w:proofErr w:type="spellStart"/>
      <w:r w:rsidRPr="00E645B1">
        <w:t>og</w:t>
      </w:r>
      <w:proofErr w:type="spellEnd"/>
      <w:r w:rsidRPr="00E645B1">
        <w:t xml:space="preserve"> </w:t>
      </w:r>
      <w:proofErr w:type="spellStart"/>
      <w:r w:rsidRPr="00E645B1">
        <w:t>procedurens</w:t>
      </w:r>
      <w:proofErr w:type="spellEnd"/>
      <w:r w:rsidRPr="00E645B1">
        <w:t xml:space="preserve"> hastende </w:t>
      </w:r>
      <w:proofErr w:type="spellStart"/>
      <w:r w:rsidRPr="00E645B1">
        <w:t>karakter</w:t>
      </w:r>
      <w:proofErr w:type="spellEnd"/>
      <w:r w:rsidRPr="00E645B1">
        <w:t xml:space="preserve"> </w:t>
      </w:r>
      <w:proofErr w:type="spellStart"/>
      <w:r w:rsidRPr="00E645B1">
        <w:t>bør</w:t>
      </w:r>
      <w:proofErr w:type="spellEnd"/>
      <w:r w:rsidRPr="00E645B1">
        <w:t xml:space="preserve"> </w:t>
      </w:r>
      <w:proofErr w:type="spellStart"/>
      <w:r w:rsidRPr="00E645B1">
        <w:t>afvejes</w:t>
      </w:r>
      <w:proofErr w:type="spellEnd"/>
      <w:r w:rsidRPr="00E645B1">
        <w:t xml:space="preserve"> </w:t>
      </w:r>
      <w:proofErr w:type="spellStart"/>
      <w:r w:rsidRPr="00E645B1">
        <w:t>mod</w:t>
      </w:r>
      <w:proofErr w:type="spellEnd"/>
      <w:r w:rsidRPr="00E645B1">
        <w:t xml:space="preserve"> </w:t>
      </w:r>
      <w:proofErr w:type="spellStart"/>
      <w:r w:rsidRPr="00E645B1">
        <w:t>hinanden</w:t>
      </w:r>
      <w:proofErr w:type="spellEnd"/>
      <w:r w:rsidRPr="00E645B1">
        <w:t>.</w:t>
      </w:r>
    </w:p>
    <w:p w14:paraId="06A69DB5" w14:textId="40FCCD18" w:rsidR="00B8420D" w:rsidRPr="00DB2CE6" w:rsidRDefault="00B8420D" w:rsidP="008C7377">
      <w:pPr>
        <w:rPr>
          <w:lang w:val="da-DK"/>
        </w:rPr>
      </w:pPr>
    </w:p>
    <w:p w14:paraId="69682E99" w14:textId="77777777" w:rsidR="00B8420D" w:rsidRPr="00DB2CE6" w:rsidRDefault="00B8420D" w:rsidP="00B8420D">
      <w:pPr>
        <w:rPr>
          <w:b/>
          <w:bCs/>
          <w:lang w:val="da-DK"/>
        </w:rPr>
      </w:pPr>
      <w:r w:rsidRPr="00E645B1">
        <w:rPr>
          <w:b/>
          <w:bCs/>
        </w:rPr>
        <w:t>Elektive operationer</w:t>
      </w:r>
    </w:p>
    <w:p w14:paraId="5CD08A28" w14:textId="55A989E8" w:rsidR="00B8420D" w:rsidRPr="00DB2CE6" w:rsidRDefault="00B8420D" w:rsidP="00B8420D">
      <w:pPr>
        <w:rPr>
          <w:lang w:val="da-DK"/>
        </w:rPr>
      </w:pPr>
      <w:r w:rsidRPr="00E645B1">
        <w:t xml:space="preserve">Dabigatranetexilat bør seponeres mindst 24 timer før et invasivt eller kirurgisk indgreb, hvis det er muligt. Hos patienter med en højere risiko for blødning eller ved større procedurer, der kræver fuldstændig hæmostase, kan det være nødvendigt at afbryde brugen af dabigatranetexilat 2 til 4 dage før proceduren. </w:t>
      </w:r>
      <w:proofErr w:type="spellStart"/>
      <w:r w:rsidR="00F2439B">
        <w:t>Seponeringsreglerne</w:t>
      </w:r>
      <w:proofErr w:type="spellEnd"/>
      <w:r w:rsidRPr="00E645B1">
        <w:t xml:space="preserve"> er </w:t>
      </w:r>
      <w:proofErr w:type="spellStart"/>
      <w:r w:rsidRPr="00E645B1">
        <w:t>beskrevet</w:t>
      </w:r>
      <w:proofErr w:type="spellEnd"/>
      <w:r w:rsidRPr="00E645B1">
        <w:t xml:space="preserve"> i </w:t>
      </w:r>
      <w:proofErr w:type="spellStart"/>
      <w:r w:rsidRPr="00E645B1">
        <w:t>tabel</w:t>
      </w:r>
      <w:proofErr w:type="spellEnd"/>
      <w:r w:rsidRPr="00E645B1">
        <w:t xml:space="preserve"> 2.</w:t>
      </w:r>
    </w:p>
    <w:p w14:paraId="11E29727" w14:textId="77777777" w:rsidR="00657EB2" w:rsidRPr="00DB2CE6" w:rsidRDefault="00657EB2" w:rsidP="00B8420D">
      <w:pPr>
        <w:rPr>
          <w:lang w:val="da-DK"/>
        </w:rPr>
      </w:pPr>
    </w:p>
    <w:p w14:paraId="25BF600B" w14:textId="0B4D37BE" w:rsidR="00657EB2" w:rsidRPr="00DB2CE6" w:rsidRDefault="00657EB2" w:rsidP="00B8420D">
      <w:pPr>
        <w:rPr>
          <w:b/>
          <w:bCs/>
          <w:lang w:val="da-DK"/>
        </w:rPr>
      </w:pPr>
      <w:r w:rsidRPr="00E645B1">
        <w:rPr>
          <w:b/>
          <w:bCs/>
        </w:rPr>
        <w:t>Tabel 2: Seponeringsregler før invasive eller kirurgiske indgreb</w:t>
      </w:r>
    </w:p>
    <w:tbl>
      <w:tblPr>
        <w:tblStyle w:val="Tabel-Gitter"/>
        <w:tblW w:w="0" w:type="auto"/>
        <w:tblLook w:val="04A0" w:firstRow="1" w:lastRow="0" w:firstColumn="1" w:lastColumn="0" w:noHBand="0" w:noVBand="1"/>
      </w:tblPr>
      <w:tblGrid>
        <w:gridCol w:w="2265"/>
        <w:gridCol w:w="2265"/>
        <w:gridCol w:w="2266"/>
        <w:gridCol w:w="2266"/>
      </w:tblGrid>
      <w:tr w:rsidR="0080482C" w:rsidRPr="00DA00F8" w14:paraId="6CED9BAA" w14:textId="77777777" w:rsidTr="00B34859">
        <w:tc>
          <w:tcPr>
            <w:tcW w:w="2265" w:type="dxa"/>
          </w:tcPr>
          <w:p w14:paraId="7EC96671" w14:textId="5F667D2A" w:rsidR="0080482C" w:rsidRPr="00DB2CE6" w:rsidRDefault="0080482C" w:rsidP="008C7377">
            <w:pPr>
              <w:rPr>
                <w:lang w:val="da-DK"/>
              </w:rPr>
            </w:pPr>
            <w:r w:rsidRPr="00E645B1">
              <w:rPr>
                <w:rFonts w:cstheme="minorHAnsi"/>
                <w:spacing w:val="-2"/>
              </w:rPr>
              <w:t>Nyrefunktion (CrCl i ml/min)</w:t>
            </w:r>
          </w:p>
        </w:tc>
        <w:tc>
          <w:tcPr>
            <w:tcW w:w="2265" w:type="dxa"/>
          </w:tcPr>
          <w:p w14:paraId="0F6BEFEB" w14:textId="30C16C7B" w:rsidR="0080482C" w:rsidRDefault="0080482C" w:rsidP="008C7377">
            <w:proofErr w:type="spellStart"/>
            <w:r w:rsidRPr="0022558B">
              <w:rPr>
                <w:rFonts w:cstheme="minorHAnsi"/>
                <w:spacing w:val="-2"/>
              </w:rPr>
              <w:t>Anslået</w:t>
            </w:r>
            <w:proofErr w:type="spellEnd"/>
            <w:r w:rsidRPr="0022558B">
              <w:rPr>
                <w:rFonts w:cstheme="minorHAnsi"/>
                <w:spacing w:val="-2"/>
              </w:rPr>
              <w:t xml:space="preserve"> </w:t>
            </w:r>
            <w:proofErr w:type="spellStart"/>
            <w:r w:rsidRPr="0022558B">
              <w:rPr>
                <w:rFonts w:cstheme="minorHAnsi"/>
                <w:spacing w:val="-2"/>
                <w:w w:val="90"/>
              </w:rPr>
              <w:t>halveringstid</w:t>
            </w:r>
            <w:proofErr w:type="spellEnd"/>
            <w:r w:rsidRPr="0022558B">
              <w:rPr>
                <w:rFonts w:cstheme="minorHAnsi"/>
                <w:spacing w:val="-2"/>
                <w:w w:val="90"/>
              </w:rPr>
              <w:t xml:space="preserve"> </w:t>
            </w:r>
            <w:r w:rsidRPr="0022558B">
              <w:rPr>
                <w:rFonts w:cstheme="minorHAnsi"/>
                <w:spacing w:val="-2"/>
              </w:rPr>
              <w:t>(</w:t>
            </w:r>
            <w:proofErr w:type="spellStart"/>
            <w:r w:rsidRPr="0022558B">
              <w:rPr>
                <w:rFonts w:cstheme="minorHAnsi"/>
                <w:spacing w:val="-2"/>
              </w:rPr>
              <w:t>timer</w:t>
            </w:r>
            <w:proofErr w:type="spellEnd"/>
            <w:r w:rsidRPr="0022558B">
              <w:rPr>
                <w:rFonts w:cstheme="minorHAnsi"/>
                <w:spacing w:val="-2"/>
              </w:rPr>
              <w:t>)</w:t>
            </w:r>
          </w:p>
        </w:tc>
        <w:tc>
          <w:tcPr>
            <w:tcW w:w="4532" w:type="dxa"/>
            <w:gridSpan w:val="2"/>
          </w:tcPr>
          <w:p w14:paraId="3723A13E" w14:textId="4A9DEC12" w:rsidR="0080482C" w:rsidRPr="00DB2CE6" w:rsidRDefault="0080482C" w:rsidP="008C7377">
            <w:pPr>
              <w:rPr>
                <w:lang w:val="da-DK"/>
              </w:rPr>
            </w:pPr>
            <w:r w:rsidRPr="00E645B1">
              <w:rPr>
                <w:rFonts w:cstheme="minorHAnsi"/>
                <w:spacing w:val="-6"/>
              </w:rPr>
              <w:t>Hvornår dabigatran skal seponeres før elektiv kirurgi?</w:t>
            </w:r>
          </w:p>
        </w:tc>
      </w:tr>
      <w:tr w:rsidR="00B8420D" w14:paraId="7893D1A8" w14:textId="77777777" w:rsidTr="00B8420D">
        <w:tc>
          <w:tcPr>
            <w:tcW w:w="2265" w:type="dxa"/>
          </w:tcPr>
          <w:p w14:paraId="7279C848" w14:textId="77777777" w:rsidR="00B8420D" w:rsidRPr="00DB2CE6" w:rsidRDefault="00B8420D" w:rsidP="008C7377">
            <w:pPr>
              <w:rPr>
                <w:lang w:val="da-DK"/>
              </w:rPr>
            </w:pPr>
          </w:p>
        </w:tc>
        <w:tc>
          <w:tcPr>
            <w:tcW w:w="2265" w:type="dxa"/>
          </w:tcPr>
          <w:p w14:paraId="4505785A" w14:textId="77777777" w:rsidR="00B8420D" w:rsidRPr="00DB2CE6" w:rsidRDefault="00B8420D" w:rsidP="008C7377">
            <w:pPr>
              <w:rPr>
                <w:lang w:val="da-DK"/>
              </w:rPr>
            </w:pPr>
          </w:p>
        </w:tc>
        <w:tc>
          <w:tcPr>
            <w:tcW w:w="2266" w:type="dxa"/>
          </w:tcPr>
          <w:p w14:paraId="7DE6FAD2" w14:textId="213EBBDC" w:rsidR="00B8420D" w:rsidRPr="00DB2CE6" w:rsidRDefault="0080482C" w:rsidP="008C7377">
            <w:pPr>
              <w:rPr>
                <w:lang w:val="da-DK"/>
              </w:rPr>
            </w:pPr>
            <w:r w:rsidRPr="00346099">
              <w:rPr>
                <w:rFonts w:cstheme="minorHAnsi"/>
                <w:spacing w:val="-6"/>
              </w:rPr>
              <w:t xml:space="preserve">Høj risiko for blødning eller </w:t>
            </w:r>
            <w:r w:rsidRPr="00346099">
              <w:rPr>
                <w:rFonts w:cstheme="minorHAnsi"/>
                <w:w w:val="90"/>
              </w:rPr>
              <w:t>større kirurgi</w:t>
            </w:r>
          </w:p>
        </w:tc>
        <w:tc>
          <w:tcPr>
            <w:tcW w:w="2266" w:type="dxa"/>
          </w:tcPr>
          <w:p w14:paraId="21313A3C" w14:textId="597F53CD" w:rsidR="00B8420D" w:rsidRDefault="0080482C" w:rsidP="008C7377">
            <w:r w:rsidRPr="0022558B">
              <w:rPr>
                <w:rFonts w:cstheme="minorHAnsi"/>
                <w:spacing w:val="-2"/>
              </w:rPr>
              <w:t xml:space="preserve">Normal </w:t>
            </w:r>
            <w:proofErr w:type="spellStart"/>
            <w:r w:rsidRPr="0022558B">
              <w:rPr>
                <w:rFonts w:cstheme="minorHAnsi"/>
                <w:spacing w:val="-2"/>
              </w:rPr>
              <w:t>risiko</w:t>
            </w:r>
            <w:proofErr w:type="spellEnd"/>
          </w:p>
        </w:tc>
      </w:tr>
      <w:tr w:rsidR="00B8420D" w14:paraId="546DF340" w14:textId="77777777" w:rsidTr="00B8420D">
        <w:tc>
          <w:tcPr>
            <w:tcW w:w="2265" w:type="dxa"/>
          </w:tcPr>
          <w:p w14:paraId="59DF0D45" w14:textId="6E5ACB23" w:rsidR="00B8420D" w:rsidRDefault="0080482C" w:rsidP="008C7377">
            <w:r w:rsidRPr="0080482C">
              <w:t>≥ 80</w:t>
            </w:r>
          </w:p>
        </w:tc>
        <w:tc>
          <w:tcPr>
            <w:tcW w:w="2265" w:type="dxa"/>
          </w:tcPr>
          <w:p w14:paraId="5D0CF7FE" w14:textId="547CF136" w:rsidR="00B8420D" w:rsidRDefault="0080482C" w:rsidP="008C7377">
            <w:r>
              <w:rPr>
                <w:rFonts w:cstheme="minorHAnsi"/>
              </w:rPr>
              <w:t>̴13</w:t>
            </w:r>
          </w:p>
        </w:tc>
        <w:tc>
          <w:tcPr>
            <w:tcW w:w="2266" w:type="dxa"/>
          </w:tcPr>
          <w:p w14:paraId="5592A2A4" w14:textId="1BF0E7DF" w:rsidR="00B8420D" w:rsidRDefault="00A6258C" w:rsidP="008C7377">
            <w:r w:rsidRPr="0022558B">
              <w:rPr>
                <w:rFonts w:cstheme="minorHAnsi"/>
              </w:rPr>
              <w:t>2 dage før</w:t>
            </w:r>
          </w:p>
        </w:tc>
        <w:tc>
          <w:tcPr>
            <w:tcW w:w="2266" w:type="dxa"/>
          </w:tcPr>
          <w:p w14:paraId="75763F79" w14:textId="3EE8D3BE" w:rsidR="00B8420D" w:rsidRDefault="00A6258C" w:rsidP="008C7377">
            <w:r w:rsidRPr="0022558B">
              <w:rPr>
                <w:rFonts w:cstheme="minorHAnsi"/>
                <w:spacing w:val="-2"/>
              </w:rPr>
              <w:t>24 timer før</w:t>
            </w:r>
          </w:p>
        </w:tc>
      </w:tr>
      <w:tr w:rsidR="00B8420D" w14:paraId="26666153" w14:textId="77777777" w:rsidTr="00B8420D">
        <w:tc>
          <w:tcPr>
            <w:tcW w:w="2265" w:type="dxa"/>
          </w:tcPr>
          <w:p w14:paraId="1919C67A" w14:textId="2B441498" w:rsidR="00B8420D" w:rsidRDefault="0080482C" w:rsidP="008C7377">
            <w:r w:rsidRPr="0080482C">
              <w:t>≥ 50 til &lt; 80</w:t>
            </w:r>
          </w:p>
        </w:tc>
        <w:tc>
          <w:tcPr>
            <w:tcW w:w="2265" w:type="dxa"/>
          </w:tcPr>
          <w:p w14:paraId="0CE00333" w14:textId="1FE48825" w:rsidR="00B8420D" w:rsidRDefault="0080482C" w:rsidP="008C7377">
            <w:r>
              <w:rPr>
                <w:rFonts w:cstheme="minorHAnsi"/>
              </w:rPr>
              <w:t>̴15</w:t>
            </w:r>
          </w:p>
        </w:tc>
        <w:tc>
          <w:tcPr>
            <w:tcW w:w="2266" w:type="dxa"/>
          </w:tcPr>
          <w:p w14:paraId="08E77CF2" w14:textId="361CCFE6" w:rsidR="00B8420D" w:rsidRDefault="00A6258C" w:rsidP="008C7377">
            <w:r w:rsidRPr="00A6258C">
              <w:rPr>
                <w:rFonts w:cstheme="minorHAnsi"/>
              </w:rPr>
              <w:t>2-3 dage før</w:t>
            </w:r>
          </w:p>
        </w:tc>
        <w:tc>
          <w:tcPr>
            <w:tcW w:w="2266" w:type="dxa"/>
          </w:tcPr>
          <w:p w14:paraId="33B0F2FB" w14:textId="4263D0BC" w:rsidR="00B8420D" w:rsidRDefault="00A6258C" w:rsidP="008C7377">
            <w:r w:rsidRPr="0022558B">
              <w:rPr>
                <w:rFonts w:cstheme="minorHAnsi"/>
              </w:rPr>
              <w:t>1-2 dage før</w:t>
            </w:r>
          </w:p>
        </w:tc>
      </w:tr>
      <w:tr w:rsidR="00B8420D" w14:paraId="33113B30" w14:textId="77777777" w:rsidTr="00B8420D">
        <w:tc>
          <w:tcPr>
            <w:tcW w:w="2265" w:type="dxa"/>
          </w:tcPr>
          <w:p w14:paraId="40B07456" w14:textId="792827B9" w:rsidR="00B8420D" w:rsidRDefault="0080482C" w:rsidP="008C7377">
            <w:r w:rsidRPr="0080482C">
              <w:t>≥ 30 til &lt; 50</w:t>
            </w:r>
          </w:p>
        </w:tc>
        <w:tc>
          <w:tcPr>
            <w:tcW w:w="2265" w:type="dxa"/>
          </w:tcPr>
          <w:p w14:paraId="4C6BD026" w14:textId="1D47B29C" w:rsidR="00B8420D" w:rsidRDefault="0080482C" w:rsidP="008C7377">
            <w:r>
              <w:rPr>
                <w:rFonts w:cstheme="minorHAnsi"/>
              </w:rPr>
              <w:t>̴18</w:t>
            </w:r>
          </w:p>
        </w:tc>
        <w:tc>
          <w:tcPr>
            <w:tcW w:w="2266" w:type="dxa"/>
          </w:tcPr>
          <w:p w14:paraId="5F1D1187" w14:textId="271C23CD" w:rsidR="00B8420D" w:rsidRDefault="00A6258C" w:rsidP="008C7377">
            <w:r w:rsidRPr="0022558B">
              <w:rPr>
                <w:rFonts w:cstheme="minorHAnsi"/>
              </w:rPr>
              <w:t>4 dage før</w:t>
            </w:r>
          </w:p>
        </w:tc>
        <w:tc>
          <w:tcPr>
            <w:tcW w:w="2266" w:type="dxa"/>
          </w:tcPr>
          <w:p w14:paraId="4DEDA142" w14:textId="77777777" w:rsidR="00A6258C" w:rsidRPr="0022558B" w:rsidRDefault="00A6258C" w:rsidP="00A6258C">
            <w:pPr>
              <w:pStyle w:val="TableParagraph"/>
              <w:spacing w:before="45" w:line="248" w:lineRule="exact"/>
              <w:ind w:left="0"/>
              <w:rPr>
                <w:rFonts w:asciiTheme="minorHAnsi" w:hAnsiTheme="minorHAnsi" w:cstheme="minorHAnsi"/>
              </w:rPr>
            </w:pPr>
            <w:r w:rsidRPr="0022558B">
              <w:rPr>
                <w:rFonts w:asciiTheme="minorHAnsi" w:hAnsiTheme="minorHAnsi" w:cstheme="minorHAnsi"/>
              </w:rPr>
              <w:t>2-3 dage før</w:t>
            </w:r>
          </w:p>
          <w:p w14:paraId="79364C12" w14:textId="30504229" w:rsidR="00B8420D" w:rsidRDefault="00A6258C" w:rsidP="00A6258C">
            <w:r w:rsidRPr="0022558B">
              <w:rPr>
                <w:rFonts w:cstheme="minorHAnsi"/>
                <w:spacing w:val="-6"/>
              </w:rPr>
              <w:t>(&gt; 48 timer)</w:t>
            </w:r>
          </w:p>
        </w:tc>
      </w:tr>
    </w:tbl>
    <w:p w14:paraId="3D54EF3B" w14:textId="7E6A7848" w:rsidR="00B8420D" w:rsidRDefault="00B8420D" w:rsidP="008C7377"/>
    <w:p w14:paraId="7F054A4B" w14:textId="77777777" w:rsidR="00657EB2" w:rsidRPr="00346099" w:rsidRDefault="00657EB2" w:rsidP="00657EB2">
      <w:pPr>
        <w:rPr>
          <w:b/>
          <w:bCs/>
          <w:lang w:val="en-US"/>
        </w:rPr>
      </w:pPr>
      <w:r w:rsidRPr="00346099">
        <w:rPr>
          <w:b/>
          <w:bCs/>
        </w:rPr>
        <w:t>Spinalanæstesi / epiduralbedøvelse / lumbalpunktur</w:t>
      </w:r>
    </w:p>
    <w:p w14:paraId="559557CB" w14:textId="4D1C9774" w:rsidR="00B8420D" w:rsidRPr="00DB2CE6" w:rsidRDefault="00657EB2" w:rsidP="00657EB2">
      <w:pPr>
        <w:rPr>
          <w:lang w:val="da-DK"/>
        </w:rPr>
      </w:pPr>
      <w:r w:rsidRPr="00346099">
        <w:t xml:space="preserve">Risikoen for spinal eller epidural hæmatomer kan øges ved traumatisk eller gentagen punktering og ved langvarig brug af epidurale katetre. Efter fjernelse af et kateter skal der opretholdes et interval på mindst 2 timer, indtil den første dosis dabigatranetexilat tages. Hos disse </w:t>
      </w:r>
      <w:r w:rsidRPr="00346099">
        <w:rPr>
          <w:rFonts w:cstheme="minorHAnsi"/>
          <w:spacing w:val="-2"/>
        </w:rPr>
        <w:t>patienter kræves hyppig kontrol af neurologiske tegn og symptomer på spinal eller epidural hæmatomer.</w:t>
      </w:r>
    </w:p>
    <w:p w14:paraId="439E2044" w14:textId="021FB67C" w:rsidR="00B8420D" w:rsidRPr="00DB2CE6" w:rsidRDefault="00B8420D" w:rsidP="008C7377">
      <w:pPr>
        <w:rPr>
          <w:lang w:val="da-DK"/>
        </w:rPr>
      </w:pPr>
    </w:p>
    <w:p w14:paraId="15A85FDB" w14:textId="4EF756B4" w:rsidR="00657EB2" w:rsidRPr="00DB2CE6" w:rsidRDefault="00657EB2" w:rsidP="008C7377">
      <w:pPr>
        <w:rPr>
          <w:b/>
          <w:bCs/>
          <w:sz w:val="28"/>
          <w:szCs w:val="28"/>
          <w:lang w:val="da-DK"/>
        </w:rPr>
      </w:pPr>
      <w:bookmarkStart w:id="6" w:name="_Toc161922289"/>
      <w:r w:rsidRPr="00346099">
        <w:rPr>
          <w:rStyle w:val="Overskrift1Tegn"/>
        </w:rPr>
        <w:lastRenderedPageBreak/>
        <w:t>Koagulationsprøver og fortolkningen heraf</w:t>
      </w:r>
      <w:bookmarkEnd w:id="6"/>
      <w:r w:rsidR="00740AE4" w:rsidRPr="00346099">
        <w:rPr>
          <w:b/>
          <w:bCs/>
          <w:sz w:val="28"/>
          <w:szCs w:val="28"/>
          <w:vertAlign w:val="superscript"/>
        </w:rPr>
        <w:t>1,2</w:t>
      </w:r>
    </w:p>
    <w:p w14:paraId="1339DE67" w14:textId="072BDB73" w:rsidR="00657EB2" w:rsidRPr="00DB2CE6" w:rsidRDefault="00740AE4" w:rsidP="00657EB2">
      <w:pPr>
        <w:rPr>
          <w:lang w:val="da-DK"/>
        </w:rPr>
      </w:pPr>
      <w:r w:rsidRPr="00346099">
        <w:t xml:space="preserve">Rutinemæssig koagulationsmonitorering er ikke nødvendig ved behandling med dabigatranetexilat </w:t>
      </w:r>
      <w:r w:rsidR="00657EB2" w:rsidRPr="00346099">
        <w:rPr>
          <w:vertAlign w:val="superscript"/>
        </w:rPr>
        <w:t>3,4</w:t>
      </w:r>
      <w:r w:rsidR="00657EB2" w:rsidRPr="00346099">
        <w:t>.</w:t>
      </w:r>
    </w:p>
    <w:p w14:paraId="4880FAEA" w14:textId="77777777" w:rsidR="002B1AC6" w:rsidRPr="002B1AC6" w:rsidRDefault="002B1AC6" w:rsidP="002B1AC6">
      <w:proofErr w:type="spellStart"/>
      <w:r w:rsidRPr="002B1AC6">
        <w:t>Hvis</w:t>
      </w:r>
      <w:proofErr w:type="spellEnd"/>
      <w:r w:rsidRPr="002B1AC6">
        <w:t xml:space="preserve"> der er </w:t>
      </w:r>
      <w:proofErr w:type="spellStart"/>
      <w:r w:rsidRPr="002B1AC6">
        <w:t>mistanke</w:t>
      </w:r>
      <w:proofErr w:type="spellEnd"/>
      <w:r w:rsidRPr="002B1AC6">
        <w:t xml:space="preserve"> </w:t>
      </w:r>
      <w:proofErr w:type="spellStart"/>
      <w:r w:rsidRPr="002B1AC6">
        <w:t>om</w:t>
      </w:r>
      <w:proofErr w:type="spellEnd"/>
      <w:r w:rsidRPr="002B1AC6">
        <w:t xml:space="preserve"> en </w:t>
      </w:r>
      <w:proofErr w:type="spellStart"/>
      <w:r w:rsidRPr="002B1AC6">
        <w:t>overdosis</w:t>
      </w:r>
      <w:proofErr w:type="spellEnd"/>
      <w:r w:rsidRPr="002B1AC6">
        <w:t xml:space="preserve">, </w:t>
      </w:r>
      <w:proofErr w:type="spellStart"/>
      <w:r w:rsidRPr="002B1AC6">
        <w:t>eller</w:t>
      </w:r>
      <w:proofErr w:type="spellEnd"/>
      <w:r w:rsidRPr="002B1AC6">
        <w:t xml:space="preserve"> </w:t>
      </w:r>
      <w:proofErr w:type="spellStart"/>
      <w:r w:rsidRPr="002B1AC6">
        <w:t>hvis</w:t>
      </w:r>
      <w:proofErr w:type="spellEnd"/>
      <w:r w:rsidRPr="002B1AC6">
        <w:t xml:space="preserve"> </w:t>
      </w:r>
      <w:proofErr w:type="spellStart"/>
      <w:r w:rsidRPr="002B1AC6">
        <w:t>patienter</w:t>
      </w:r>
      <w:proofErr w:type="spellEnd"/>
      <w:r w:rsidRPr="002B1AC6">
        <w:t xml:space="preserve"> </w:t>
      </w:r>
      <w:proofErr w:type="spellStart"/>
      <w:r w:rsidRPr="002B1AC6">
        <w:t>behandlet</w:t>
      </w:r>
      <w:proofErr w:type="spellEnd"/>
      <w:r w:rsidRPr="002B1AC6">
        <w:t xml:space="preserve"> med </w:t>
      </w:r>
      <w:proofErr w:type="spellStart"/>
      <w:r w:rsidRPr="002B1AC6">
        <w:t>dabigatranetexilat</w:t>
      </w:r>
      <w:proofErr w:type="spellEnd"/>
      <w:r w:rsidRPr="002B1AC6">
        <w:t xml:space="preserve"> </w:t>
      </w:r>
      <w:proofErr w:type="spellStart"/>
      <w:r w:rsidRPr="002B1AC6">
        <w:t>kommer</w:t>
      </w:r>
      <w:proofErr w:type="spellEnd"/>
      <w:r w:rsidRPr="002B1AC6">
        <w:t xml:space="preserve"> </w:t>
      </w:r>
      <w:proofErr w:type="spellStart"/>
      <w:r w:rsidRPr="002B1AC6">
        <w:t>på</w:t>
      </w:r>
      <w:proofErr w:type="spellEnd"/>
      <w:r w:rsidRPr="002B1AC6">
        <w:t xml:space="preserve"> </w:t>
      </w:r>
      <w:proofErr w:type="spellStart"/>
      <w:r w:rsidRPr="002B1AC6">
        <w:t>skadestuen</w:t>
      </w:r>
      <w:proofErr w:type="spellEnd"/>
      <w:r w:rsidRPr="002B1AC6">
        <w:t xml:space="preserve"> </w:t>
      </w:r>
      <w:proofErr w:type="spellStart"/>
      <w:r w:rsidRPr="002B1AC6">
        <w:t>kan</w:t>
      </w:r>
      <w:proofErr w:type="spellEnd"/>
      <w:r w:rsidRPr="002B1AC6">
        <w:t xml:space="preserve"> en </w:t>
      </w:r>
      <w:proofErr w:type="spellStart"/>
      <w:r w:rsidRPr="002B1AC6">
        <w:t>koagulationstest</w:t>
      </w:r>
      <w:proofErr w:type="spellEnd"/>
      <w:r w:rsidRPr="002B1AC6">
        <w:t xml:space="preserve"> </w:t>
      </w:r>
      <w:proofErr w:type="spellStart"/>
      <w:r w:rsidRPr="002B1AC6">
        <w:t>hjælpe</w:t>
      </w:r>
      <w:proofErr w:type="spellEnd"/>
      <w:r w:rsidRPr="002B1AC6">
        <w:t xml:space="preserve"> med at </w:t>
      </w:r>
      <w:proofErr w:type="spellStart"/>
      <w:r w:rsidRPr="002B1AC6">
        <w:t>vurdere</w:t>
      </w:r>
      <w:proofErr w:type="spellEnd"/>
      <w:r w:rsidRPr="002B1AC6">
        <w:t xml:space="preserve"> </w:t>
      </w:r>
      <w:proofErr w:type="spellStart"/>
      <w:r w:rsidRPr="002B1AC6">
        <w:t>blødningsrisikoen</w:t>
      </w:r>
      <w:proofErr w:type="spellEnd"/>
      <w:r w:rsidRPr="002B1AC6">
        <w:t>.</w:t>
      </w:r>
    </w:p>
    <w:p w14:paraId="18B3FDBB" w14:textId="77777777" w:rsidR="00657EB2" w:rsidRPr="00DB2CE6" w:rsidRDefault="00657EB2" w:rsidP="00657EB2">
      <w:pPr>
        <w:rPr>
          <w:lang w:val="da-DK"/>
        </w:rPr>
      </w:pPr>
    </w:p>
    <w:p w14:paraId="4C19B584" w14:textId="77777777" w:rsidR="00657EB2" w:rsidRPr="00DB2CE6" w:rsidRDefault="00657EB2" w:rsidP="00657EB2">
      <w:pPr>
        <w:rPr>
          <w:b/>
          <w:bCs/>
          <w:lang w:val="da-DK"/>
        </w:rPr>
      </w:pPr>
      <w:r w:rsidRPr="00346099">
        <w:rPr>
          <w:b/>
          <w:bCs/>
        </w:rPr>
        <w:t>Globale (ikke-specifikke) koagulationstest</w:t>
      </w:r>
    </w:p>
    <w:p w14:paraId="115566D7" w14:textId="07A37951" w:rsidR="00657EB2" w:rsidRPr="00DB2CE6" w:rsidRDefault="00740AE4" w:rsidP="00657EB2">
      <w:pPr>
        <w:rPr>
          <w:b/>
          <w:bCs/>
          <w:lang w:val="da-DK"/>
        </w:rPr>
      </w:pPr>
      <w:r w:rsidRPr="00346099">
        <w:t xml:space="preserve">• </w:t>
      </w:r>
      <w:r w:rsidR="00657EB2" w:rsidRPr="00346099">
        <w:rPr>
          <w:b/>
          <w:bCs/>
        </w:rPr>
        <w:t>Protrombintid udtrykt som INR-værdi (International Normalised Ratio)</w:t>
      </w:r>
    </w:p>
    <w:p w14:paraId="14571070" w14:textId="77777777" w:rsidR="00657EB2" w:rsidRPr="00DB2CE6" w:rsidRDefault="00657EB2" w:rsidP="00657EB2">
      <w:pPr>
        <w:rPr>
          <w:lang w:val="da-DK"/>
        </w:rPr>
      </w:pPr>
      <w:proofErr w:type="spellStart"/>
      <w:r w:rsidRPr="00346099">
        <w:t>Måling</w:t>
      </w:r>
      <w:proofErr w:type="spellEnd"/>
      <w:r w:rsidRPr="00346099">
        <w:t xml:space="preserve"> </w:t>
      </w:r>
      <w:proofErr w:type="spellStart"/>
      <w:r w:rsidRPr="00346099">
        <w:t>af</w:t>
      </w:r>
      <w:proofErr w:type="spellEnd"/>
      <w:r w:rsidRPr="00346099">
        <w:t xml:space="preserve"> </w:t>
      </w:r>
      <w:proofErr w:type="spellStart"/>
      <w:r w:rsidRPr="00346099">
        <w:t>protrombintid</w:t>
      </w:r>
      <w:proofErr w:type="spellEnd"/>
      <w:r w:rsidRPr="00346099">
        <w:t xml:space="preserve">, </w:t>
      </w:r>
      <w:proofErr w:type="spellStart"/>
      <w:r w:rsidRPr="00346099">
        <w:t>udtrykt</w:t>
      </w:r>
      <w:proofErr w:type="spellEnd"/>
      <w:r w:rsidRPr="00346099">
        <w:t xml:space="preserve"> </w:t>
      </w:r>
      <w:proofErr w:type="spellStart"/>
      <w:r w:rsidRPr="00346099">
        <w:t>som</w:t>
      </w:r>
      <w:proofErr w:type="spellEnd"/>
      <w:r w:rsidRPr="00346099">
        <w:t xml:space="preserve"> en INR-</w:t>
      </w:r>
      <w:proofErr w:type="spellStart"/>
      <w:r w:rsidRPr="00346099">
        <w:t>værdi</w:t>
      </w:r>
      <w:proofErr w:type="spellEnd"/>
      <w:r w:rsidRPr="00346099">
        <w:t xml:space="preserve">, er </w:t>
      </w:r>
      <w:proofErr w:type="spellStart"/>
      <w:r w:rsidRPr="00346099">
        <w:t>upålidelig</w:t>
      </w:r>
      <w:proofErr w:type="spellEnd"/>
      <w:r w:rsidRPr="00346099">
        <w:t xml:space="preserve"> </w:t>
      </w:r>
      <w:proofErr w:type="spellStart"/>
      <w:r w:rsidRPr="00346099">
        <w:t>og</w:t>
      </w:r>
      <w:proofErr w:type="spellEnd"/>
      <w:r w:rsidRPr="00346099">
        <w:t xml:space="preserve"> </w:t>
      </w:r>
      <w:proofErr w:type="spellStart"/>
      <w:r w:rsidRPr="00346099">
        <w:t>bør</w:t>
      </w:r>
      <w:proofErr w:type="spellEnd"/>
      <w:r w:rsidRPr="00346099">
        <w:t xml:space="preserve"> </w:t>
      </w:r>
      <w:proofErr w:type="spellStart"/>
      <w:r w:rsidRPr="00346099">
        <w:t>ikke</w:t>
      </w:r>
      <w:proofErr w:type="spellEnd"/>
      <w:r w:rsidRPr="00346099">
        <w:t xml:space="preserve"> </w:t>
      </w:r>
      <w:proofErr w:type="spellStart"/>
      <w:r w:rsidRPr="00346099">
        <w:t>udføres</w:t>
      </w:r>
      <w:proofErr w:type="spellEnd"/>
      <w:r w:rsidRPr="00346099">
        <w:t xml:space="preserve"> </w:t>
      </w:r>
      <w:proofErr w:type="spellStart"/>
      <w:r w:rsidRPr="00346099">
        <w:t>for</w:t>
      </w:r>
      <w:proofErr w:type="spellEnd"/>
      <w:r w:rsidRPr="00346099">
        <w:t xml:space="preserve"> </w:t>
      </w:r>
      <w:proofErr w:type="spellStart"/>
      <w:r w:rsidRPr="00346099">
        <w:t>dabigatranetexilat</w:t>
      </w:r>
      <w:proofErr w:type="spellEnd"/>
      <w:r w:rsidRPr="00346099">
        <w:t>.</w:t>
      </w:r>
    </w:p>
    <w:p w14:paraId="6B1E535B" w14:textId="1BCD35E4" w:rsidR="00657EB2" w:rsidRPr="00DB2CE6" w:rsidRDefault="00740AE4" w:rsidP="00657EB2">
      <w:pPr>
        <w:rPr>
          <w:lang w:val="da-DK"/>
        </w:rPr>
      </w:pPr>
      <w:r w:rsidRPr="00346099">
        <w:t xml:space="preserve">• </w:t>
      </w:r>
      <w:r w:rsidR="00657EB2" w:rsidRPr="00346099">
        <w:rPr>
          <w:b/>
          <w:bCs/>
        </w:rPr>
        <w:t>Aktiveret partiel tromboplastintid (aPTT)</w:t>
      </w:r>
    </w:p>
    <w:p w14:paraId="0570AC85" w14:textId="77777777" w:rsidR="00657EB2" w:rsidRPr="00DB2CE6" w:rsidRDefault="00657EB2" w:rsidP="00657EB2">
      <w:pPr>
        <w:rPr>
          <w:lang w:val="da-DK"/>
        </w:rPr>
      </w:pPr>
      <w:r w:rsidRPr="00346099">
        <w:t xml:space="preserve">APTT-testen giver et omtrentligt estimat af antikoagulant for dabigatran. </w:t>
      </w:r>
      <w:proofErr w:type="spellStart"/>
      <w:r w:rsidRPr="00346099">
        <w:t>Dette</w:t>
      </w:r>
      <w:proofErr w:type="spellEnd"/>
      <w:r w:rsidRPr="00346099">
        <w:t xml:space="preserve"> er </w:t>
      </w:r>
      <w:proofErr w:type="spellStart"/>
      <w:r w:rsidRPr="00346099">
        <w:t>imidlertid</w:t>
      </w:r>
      <w:proofErr w:type="spellEnd"/>
      <w:r w:rsidRPr="00346099">
        <w:t xml:space="preserve"> </w:t>
      </w:r>
      <w:proofErr w:type="spellStart"/>
      <w:r w:rsidRPr="00346099">
        <w:t>ikke</w:t>
      </w:r>
      <w:proofErr w:type="spellEnd"/>
      <w:r w:rsidRPr="00346099">
        <w:t xml:space="preserve"> </w:t>
      </w:r>
      <w:proofErr w:type="spellStart"/>
      <w:r w:rsidRPr="00346099">
        <w:t>egnet</w:t>
      </w:r>
      <w:proofErr w:type="spellEnd"/>
      <w:r w:rsidRPr="00346099">
        <w:t xml:space="preserve"> </w:t>
      </w:r>
      <w:proofErr w:type="spellStart"/>
      <w:r w:rsidRPr="00346099">
        <w:t>til</w:t>
      </w:r>
      <w:proofErr w:type="spellEnd"/>
      <w:r w:rsidRPr="00346099">
        <w:t xml:space="preserve"> en </w:t>
      </w:r>
      <w:proofErr w:type="spellStart"/>
      <w:r w:rsidRPr="00346099">
        <w:t>nøjagtig</w:t>
      </w:r>
      <w:proofErr w:type="spellEnd"/>
      <w:r w:rsidRPr="00346099">
        <w:t xml:space="preserve"> </w:t>
      </w:r>
      <w:proofErr w:type="spellStart"/>
      <w:r w:rsidRPr="00346099">
        <w:t>kvantificering</w:t>
      </w:r>
      <w:proofErr w:type="spellEnd"/>
      <w:r w:rsidRPr="00346099">
        <w:t xml:space="preserve"> </w:t>
      </w:r>
      <w:proofErr w:type="spellStart"/>
      <w:r w:rsidRPr="00346099">
        <w:t>af</w:t>
      </w:r>
      <w:proofErr w:type="spellEnd"/>
      <w:r w:rsidRPr="00346099">
        <w:t xml:space="preserve"> den </w:t>
      </w:r>
      <w:proofErr w:type="spellStart"/>
      <w:r w:rsidRPr="00346099">
        <w:t>antikoagulerende</w:t>
      </w:r>
      <w:proofErr w:type="spellEnd"/>
      <w:r w:rsidRPr="00346099">
        <w:t xml:space="preserve"> </w:t>
      </w:r>
      <w:proofErr w:type="spellStart"/>
      <w:r w:rsidRPr="00346099">
        <w:t>virkning</w:t>
      </w:r>
      <w:proofErr w:type="spellEnd"/>
      <w:r w:rsidRPr="00346099">
        <w:t>.</w:t>
      </w:r>
    </w:p>
    <w:p w14:paraId="4E971181" w14:textId="77777777" w:rsidR="00657EB2" w:rsidRPr="00DB2CE6" w:rsidRDefault="00657EB2" w:rsidP="00657EB2">
      <w:pPr>
        <w:rPr>
          <w:lang w:val="da-DK"/>
        </w:rPr>
      </w:pPr>
    </w:p>
    <w:p w14:paraId="14875BA1" w14:textId="77777777" w:rsidR="00657EB2" w:rsidRPr="00DB2CE6" w:rsidRDefault="00657EB2" w:rsidP="00657EB2">
      <w:pPr>
        <w:rPr>
          <w:b/>
          <w:bCs/>
          <w:lang w:val="da-DK"/>
        </w:rPr>
      </w:pPr>
      <w:proofErr w:type="spellStart"/>
      <w:r w:rsidRPr="00346099">
        <w:rPr>
          <w:b/>
          <w:bCs/>
        </w:rPr>
        <w:t>Specifikke</w:t>
      </w:r>
      <w:proofErr w:type="spellEnd"/>
      <w:r w:rsidRPr="00346099">
        <w:rPr>
          <w:b/>
          <w:bCs/>
        </w:rPr>
        <w:t xml:space="preserve"> </w:t>
      </w:r>
      <w:proofErr w:type="spellStart"/>
      <w:r w:rsidRPr="00346099">
        <w:rPr>
          <w:b/>
          <w:bCs/>
        </w:rPr>
        <w:t>koagulationstest</w:t>
      </w:r>
      <w:proofErr w:type="spellEnd"/>
      <w:r w:rsidRPr="00346099">
        <w:rPr>
          <w:b/>
          <w:bCs/>
        </w:rPr>
        <w:t xml:space="preserve"> </w:t>
      </w:r>
      <w:proofErr w:type="spellStart"/>
      <w:r w:rsidRPr="00346099">
        <w:rPr>
          <w:b/>
          <w:bCs/>
        </w:rPr>
        <w:t>for</w:t>
      </w:r>
      <w:proofErr w:type="spellEnd"/>
      <w:r w:rsidRPr="00346099">
        <w:rPr>
          <w:b/>
          <w:bCs/>
        </w:rPr>
        <w:t xml:space="preserve"> </w:t>
      </w:r>
      <w:proofErr w:type="spellStart"/>
      <w:r w:rsidRPr="00346099">
        <w:rPr>
          <w:b/>
          <w:bCs/>
        </w:rPr>
        <w:t>dabigatranetexilat</w:t>
      </w:r>
      <w:proofErr w:type="spellEnd"/>
    </w:p>
    <w:p w14:paraId="27D2FA32" w14:textId="6FD057F5" w:rsidR="00657EB2" w:rsidRPr="00DB2CE6" w:rsidRDefault="00657EB2" w:rsidP="00657EB2">
      <w:pPr>
        <w:rPr>
          <w:lang w:val="da-DK"/>
        </w:rPr>
      </w:pPr>
      <w:r w:rsidRPr="00346099">
        <w:t xml:space="preserve">Til kvantitativ bestemmelse af plasmakoncentrationen af dabigatran er der udviklet flere testprocedurer </w:t>
      </w:r>
      <w:r w:rsidRPr="00346099">
        <w:rPr>
          <w:vertAlign w:val="superscript"/>
        </w:rPr>
        <w:t>5-8</w:t>
      </w:r>
      <w:r w:rsidRPr="00346099">
        <w:t xml:space="preserve"> baseret på bestemmelse af trombintid (TT).</w:t>
      </w:r>
    </w:p>
    <w:p w14:paraId="63D5074F" w14:textId="77777777" w:rsidR="00657EB2" w:rsidRPr="00DB2CE6" w:rsidRDefault="00657EB2" w:rsidP="00657EB2">
      <w:pPr>
        <w:rPr>
          <w:lang w:val="da-DK"/>
        </w:rPr>
      </w:pPr>
      <w:r w:rsidRPr="00346099">
        <w:t>For eksempel:</w:t>
      </w:r>
    </w:p>
    <w:p w14:paraId="7E8655E9" w14:textId="34CB401E" w:rsidR="00657EB2" w:rsidRPr="00DB2CE6" w:rsidRDefault="004567E9" w:rsidP="00657EB2">
      <w:pPr>
        <w:rPr>
          <w:b/>
          <w:bCs/>
          <w:lang w:val="da-DK"/>
        </w:rPr>
      </w:pPr>
      <w:r w:rsidRPr="00346099">
        <w:t xml:space="preserve">• </w:t>
      </w:r>
      <w:r w:rsidR="00657EB2" w:rsidRPr="00346099">
        <w:rPr>
          <w:b/>
          <w:bCs/>
        </w:rPr>
        <w:t xml:space="preserve"> Trombintid (TT), ecarinkoagulationstid (ECT), trombintid i fortyndede plasmaprøver (dTT)</w:t>
      </w:r>
    </w:p>
    <w:p w14:paraId="029AC149" w14:textId="0517CB7D" w:rsidR="00657EB2" w:rsidRPr="00DB2CE6" w:rsidRDefault="00657EB2" w:rsidP="00657EB2">
      <w:pPr>
        <w:rPr>
          <w:lang w:val="da-DK"/>
        </w:rPr>
      </w:pPr>
      <w:r w:rsidRPr="00346099">
        <w:t xml:space="preserve">Der er en klar sammenhæng mellem koncentrationen af dabigatranplasma og graden af antikoagulantia aktivitet </w:t>
      </w:r>
      <w:r w:rsidRPr="00346099">
        <w:rPr>
          <w:vertAlign w:val="superscript"/>
        </w:rPr>
        <w:t>1,2</w:t>
      </w:r>
      <w:r w:rsidRPr="00346099">
        <w:t>.</w:t>
      </w:r>
    </w:p>
    <w:p w14:paraId="330B8A5A" w14:textId="62C07F05" w:rsidR="00265906" w:rsidRPr="00DB2CE6" w:rsidRDefault="00657EB2" w:rsidP="00657EB2">
      <w:pPr>
        <w:rPr>
          <w:lang w:val="da-DK"/>
        </w:rPr>
      </w:pPr>
      <w:r w:rsidRPr="00346099">
        <w:t xml:space="preserve">En normal dTT-aflæsning indikerer fraværet af en klinisk relevant antikoagulerende virkning af dabigatran. </w:t>
      </w:r>
      <w:proofErr w:type="spellStart"/>
      <w:r w:rsidRPr="00346099">
        <w:t>Trombintid</w:t>
      </w:r>
      <w:proofErr w:type="spellEnd"/>
      <w:r w:rsidRPr="00346099">
        <w:t xml:space="preserve"> (TT) </w:t>
      </w:r>
      <w:proofErr w:type="spellStart"/>
      <w:r w:rsidRPr="00346099">
        <w:t>og</w:t>
      </w:r>
      <w:proofErr w:type="spellEnd"/>
      <w:r w:rsidRPr="00346099">
        <w:t xml:space="preserve"> </w:t>
      </w:r>
      <w:proofErr w:type="spellStart"/>
      <w:r w:rsidRPr="00346099">
        <w:t>ecarinkoagulationstid</w:t>
      </w:r>
      <w:proofErr w:type="spellEnd"/>
      <w:r w:rsidRPr="00346099">
        <w:t xml:space="preserve"> (ECT) </w:t>
      </w:r>
      <w:proofErr w:type="spellStart"/>
      <w:r w:rsidRPr="00346099">
        <w:t>kan</w:t>
      </w:r>
      <w:proofErr w:type="spellEnd"/>
      <w:r w:rsidRPr="00346099">
        <w:t xml:space="preserve"> </w:t>
      </w:r>
      <w:proofErr w:type="spellStart"/>
      <w:r w:rsidRPr="00346099">
        <w:t>give</w:t>
      </w:r>
      <w:proofErr w:type="spellEnd"/>
      <w:r w:rsidRPr="00346099">
        <w:t xml:space="preserve"> </w:t>
      </w:r>
      <w:proofErr w:type="spellStart"/>
      <w:r w:rsidRPr="00346099">
        <w:t>nyttige</w:t>
      </w:r>
      <w:proofErr w:type="spellEnd"/>
      <w:r w:rsidRPr="00346099">
        <w:t xml:space="preserve"> </w:t>
      </w:r>
      <w:proofErr w:type="spellStart"/>
      <w:r w:rsidR="005F19FE">
        <w:t>information</w:t>
      </w:r>
      <w:proofErr w:type="spellEnd"/>
      <w:r w:rsidRPr="00346099">
        <w:t xml:space="preserve">, </w:t>
      </w:r>
      <w:proofErr w:type="spellStart"/>
      <w:r w:rsidRPr="00346099">
        <w:t>men</w:t>
      </w:r>
      <w:proofErr w:type="spellEnd"/>
      <w:r w:rsidRPr="00346099">
        <w:t xml:space="preserve"> </w:t>
      </w:r>
      <w:proofErr w:type="spellStart"/>
      <w:r w:rsidRPr="00346099">
        <w:t>disse</w:t>
      </w:r>
      <w:proofErr w:type="spellEnd"/>
      <w:r w:rsidRPr="00346099">
        <w:t xml:space="preserve"> </w:t>
      </w:r>
      <w:proofErr w:type="spellStart"/>
      <w:r w:rsidRPr="00346099">
        <w:t>tests</w:t>
      </w:r>
      <w:proofErr w:type="spellEnd"/>
      <w:r w:rsidRPr="00346099">
        <w:t xml:space="preserve"> er </w:t>
      </w:r>
      <w:proofErr w:type="spellStart"/>
      <w:r w:rsidRPr="00346099">
        <w:t>ikke</w:t>
      </w:r>
      <w:proofErr w:type="spellEnd"/>
      <w:r w:rsidRPr="00346099">
        <w:t xml:space="preserve"> </w:t>
      </w:r>
      <w:proofErr w:type="spellStart"/>
      <w:r w:rsidRPr="00346099">
        <w:t>standardiserede</w:t>
      </w:r>
      <w:proofErr w:type="spellEnd"/>
      <w:r w:rsidRPr="00346099">
        <w:t>.</w:t>
      </w:r>
    </w:p>
    <w:p w14:paraId="21C336D2" w14:textId="284F6D03" w:rsidR="004567E9" w:rsidRPr="00DB2CE6" w:rsidRDefault="004567E9" w:rsidP="004567E9">
      <w:pPr>
        <w:rPr>
          <w:b/>
          <w:bCs/>
          <w:lang w:val="da-DK"/>
        </w:rPr>
      </w:pPr>
      <w:r w:rsidRPr="00346099">
        <w:t xml:space="preserve">• </w:t>
      </w:r>
      <w:r w:rsidRPr="00346099">
        <w:rPr>
          <w:b/>
          <w:bCs/>
        </w:rPr>
        <w:t>Trombintid (TT)</w:t>
      </w:r>
    </w:p>
    <w:p w14:paraId="591AD1A2" w14:textId="45C3F576" w:rsidR="004567E9" w:rsidRPr="00DB2CE6" w:rsidRDefault="004567E9" w:rsidP="004567E9">
      <w:pPr>
        <w:rPr>
          <w:lang w:val="da-DK"/>
        </w:rPr>
      </w:pPr>
      <w:r w:rsidRPr="00346099">
        <w:t xml:space="preserve">Den faktiske måling af trombintid (TT) afhænger af koagulometeret og den batch af thrombin, der anvendes til målingen. </w:t>
      </w:r>
      <w:proofErr w:type="spellStart"/>
      <w:r w:rsidRPr="00346099">
        <w:t>Det</w:t>
      </w:r>
      <w:proofErr w:type="spellEnd"/>
      <w:r w:rsidRPr="00346099">
        <w:t xml:space="preserve"> </w:t>
      </w:r>
      <w:proofErr w:type="spellStart"/>
      <w:r w:rsidRPr="00346099">
        <w:t>anbefales</w:t>
      </w:r>
      <w:proofErr w:type="spellEnd"/>
      <w:r w:rsidRPr="00346099">
        <w:t xml:space="preserve"> </w:t>
      </w:r>
      <w:proofErr w:type="spellStart"/>
      <w:r w:rsidRPr="00346099">
        <w:t>derfor</w:t>
      </w:r>
      <w:proofErr w:type="spellEnd"/>
      <w:r w:rsidRPr="00346099">
        <w:t xml:space="preserve"> at </w:t>
      </w:r>
      <w:proofErr w:type="spellStart"/>
      <w:r w:rsidRPr="00346099">
        <w:t>anvende</w:t>
      </w:r>
      <w:proofErr w:type="spellEnd"/>
      <w:r w:rsidRPr="00346099">
        <w:t xml:space="preserve"> den </w:t>
      </w:r>
      <w:proofErr w:type="spellStart"/>
      <w:r w:rsidRPr="00346099">
        <w:t>kalibrerede</w:t>
      </w:r>
      <w:proofErr w:type="spellEnd"/>
      <w:r w:rsidRPr="00346099">
        <w:t xml:space="preserve"> </w:t>
      </w:r>
      <w:proofErr w:type="spellStart"/>
      <w:r w:rsidRPr="00346099">
        <w:t>hæmoclotrombinhæmmer</w:t>
      </w:r>
      <w:proofErr w:type="spellEnd"/>
      <w:r w:rsidRPr="00346099">
        <w:t xml:space="preserve">  </w:t>
      </w:r>
      <w:proofErr w:type="spellStart"/>
      <w:r w:rsidRPr="00346099">
        <w:t>test</w:t>
      </w:r>
      <w:proofErr w:type="spellEnd"/>
      <w:r w:rsidRPr="00346099">
        <w:t xml:space="preserve"> </w:t>
      </w:r>
      <w:r w:rsidRPr="00346099">
        <w:rPr>
          <w:vertAlign w:val="superscript"/>
        </w:rPr>
        <w:t>5</w:t>
      </w:r>
      <w:r w:rsidRPr="00346099">
        <w:t xml:space="preserve"> (</w:t>
      </w:r>
      <w:proofErr w:type="spellStart"/>
      <w:r w:rsidRPr="00346099">
        <w:t>dTT</w:t>
      </w:r>
      <w:proofErr w:type="spellEnd"/>
      <w:r w:rsidRPr="00346099">
        <w:t xml:space="preserve"> </w:t>
      </w:r>
      <w:proofErr w:type="spellStart"/>
      <w:r w:rsidRPr="00346099">
        <w:t>test</w:t>
      </w:r>
      <w:proofErr w:type="spellEnd"/>
      <w:r w:rsidRPr="00346099">
        <w:t xml:space="preserve">) med </w:t>
      </w:r>
      <w:proofErr w:type="spellStart"/>
      <w:r w:rsidRPr="00346099">
        <w:t>dabigatranreferenceværdier</w:t>
      </w:r>
      <w:proofErr w:type="spellEnd"/>
      <w:r w:rsidRPr="00346099">
        <w:t xml:space="preserve"> </w:t>
      </w:r>
      <w:proofErr w:type="spellStart"/>
      <w:r w:rsidRPr="00346099">
        <w:t>til</w:t>
      </w:r>
      <w:proofErr w:type="spellEnd"/>
      <w:r w:rsidRPr="00346099">
        <w:t xml:space="preserve"> </w:t>
      </w:r>
      <w:proofErr w:type="spellStart"/>
      <w:r w:rsidRPr="00346099">
        <w:t>bestemmelse</w:t>
      </w:r>
      <w:proofErr w:type="spellEnd"/>
      <w:r w:rsidRPr="00346099">
        <w:t xml:space="preserve"> </w:t>
      </w:r>
      <w:proofErr w:type="spellStart"/>
      <w:r w:rsidRPr="00346099">
        <w:t>af</w:t>
      </w:r>
      <w:proofErr w:type="spellEnd"/>
      <w:r w:rsidRPr="00346099">
        <w:t xml:space="preserve"> </w:t>
      </w:r>
      <w:proofErr w:type="spellStart"/>
      <w:r w:rsidRPr="00346099">
        <w:t>plasmakoncentrationen</w:t>
      </w:r>
      <w:proofErr w:type="spellEnd"/>
      <w:r w:rsidRPr="00346099">
        <w:t xml:space="preserve"> </w:t>
      </w:r>
      <w:proofErr w:type="spellStart"/>
      <w:r w:rsidRPr="00346099">
        <w:t>af</w:t>
      </w:r>
      <w:proofErr w:type="spellEnd"/>
      <w:r w:rsidRPr="00346099">
        <w:t xml:space="preserve"> </w:t>
      </w:r>
      <w:proofErr w:type="spellStart"/>
      <w:r w:rsidRPr="00346099">
        <w:t>dabigatran</w:t>
      </w:r>
      <w:proofErr w:type="spellEnd"/>
      <w:r w:rsidRPr="00346099">
        <w:t xml:space="preserve"> </w:t>
      </w:r>
      <w:proofErr w:type="spellStart"/>
      <w:r w:rsidRPr="00346099">
        <w:t>og</w:t>
      </w:r>
      <w:proofErr w:type="spellEnd"/>
      <w:r w:rsidRPr="00346099">
        <w:t xml:space="preserve"> </w:t>
      </w:r>
      <w:proofErr w:type="spellStart"/>
      <w:r w:rsidRPr="00346099">
        <w:t>ikke</w:t>
      </w:r>
      <w:proofErr w:type="spellEnd"/>
      <w:r w:rsidRPr="00346099">
        <w:t xml:space="preserve"> </w:t>
      </w:r>
      <w:proofErr w:type="spellStart"/>
      <w:r w:rsidRPr="00346099">
        <w:t>til</w:t>
      </w:r>
      <w:proofErr w:type="spellEnd"/>
      <w:r w:rsidRPr="00346099">
        <w:t xml:space="preserve"> </w:t>
      </w:r>
      <w:proofErr w:type="spellStart"/>
      <w:r w:rsidRPr="00346099">
        <w:t>måling</w:t>
      </w:r>
      <w:proofErr w:type="spellEnd"/>
      <w:r w:rsidRPr="00346099">
        <w:t xml:space="preserve"> </w:t>
      </w:r>
      <w:proofErr w:type="spellStart"/>
      <w:r w:rsidRPr="00346099">
        <w:t>af</w:t>
      </w:r>
      <w:proofErr w:type="spellEnd"/>
      <w:r w:rsidRPr="00346099">
        <w:t xml:space="preserve"> </w:t>
      </w:r>
      <w:proofErr w:type="spellStart"/>
      <w:r w:rsidRPr="00346099">
        <w:t>trombintiden</w:t>
      </w:r>
      <w:proofErr w:type="spellEnd"/>
      <w:r w:rsidRPr="00346099">
        <w:t xml:space="preserve"> (TT).</w:t>
      </w:r>
    </w:p>
    <w:p w14:paraId="74E9084B" w14:textId="022BCF47" w:rsidR="004567E9" w:rsidRPr="00DB2CE6" w:rsidRDefault="004567E9" w:rsidP="004567E9">
      <w:pPr>
        <w:rPr>
          <w:b/>
          <w:bCs/>
          <w:lang w:val="da-DK"/>
        </w:rPr>
      </w:pPr>
      <w:r w:rsidRPr="00346099">
        <w:t xml:space="preserve">• </w:t>
      </w:r>
      <w:proofErr w:type="spellStart"/>
      <w:r w:rsidRPr="00346099">
        <w:rPr>
          <w:b/>
          <w:bCs/>
        </w:rPr>
        <w:t>Ecarin</w:t>
      </w:r>
      <w:proofErr w:type="spellEnd"/>
      <w:r w:rsidRPr="00346099">
        <w:rPr>
          <w:b/>
          <w:bCs/>
        </w:rPr>
        <w:t xml:space="preserve"> </w:t>
      </w:r>
      <w:proofErr w:type="spellStart"/>
      <w:r w:rsidRPr="00346099">
        <w:rPr>
          <w:b/>
          <w:bCs/>
        </w:rPr>
        <w:t>koagulationstid</w:t>
      </w:r>
      <w:proofErr w:type="spellEnd"/>
      <w:r w:rsidRPr="00346099">
        <w:rPr>
          <w:b/>
          <w:bCs/>
        </w:rPr>
        <w:t xml:space="preserve"> (ECT)</w:t>
      </w:r>
    </w:p>
    <w:p w14:paraId="2AF01A49" w14:textId="77777777" w:rsidR="004567E9" w:rsidRPr="00DB2CE6" w:rsidRDefault="004567E9" w:rsidP="004567E9">
      <w:pPr>
        <w:rPr>
          <w:lang w:val="da-DK"/>
        </w:rPr>
      </w:pPr>
      <w:proofErr w:type="spellStart"/>
      <w:r w:rsidRPr="00346099">
        <w:t>Ecarin</w:t>
      </w:r>
      <w:proofErr w:type="spellEnd"/>
      <w:r w:rsidRPr="00346099">
        <w:t xml:space="preserve"> </w:t>
      </w:r>
      <w:proofErr w:type="spellStart"/>
      <w:r w:rsidRPr="00346099">
        <w:t>koagulationstid</w:t>
      </w:r>
      <w:proofErr w:type="spellEnd"/>
      <w:r w:rsidRPr="00346099">
        <w:t xml:space="preserve"> (ECT) </w:t>
      </w:r>
      <w:proofErr w:type="spellStart"/>
      <w:r w:rsidRPr="00346099">
        <w:t>tillader</w:t>
      </w:r>
      <w:proofErr w:type="spellEnd"/>
      <w:r w:rsidRPr="00346099">
        <w:t xml:space="preserve"> direkte </w:t>
      </w:r>
      <w:proofErr w:type="spellStart"/>
      <w:r w:rsidRPr="00346099">
        <w:t>måling</w:t>
      </w:r>
      <w:proofErr w:type="spellEnd"/>
      <w:r w:rsidRPr="00346099">
        <w:t xml:space="preserve"> </w:t>
      </w:r>
      <w:proofErr w:type="spellStart"/>
      <w:r w:rsidRPr="00346099">
        <w:t>af</w:t>
      </w:r>
      <w:proofErr w:type="spellEnd"/>
      <w:r w:rsidRPr="00346099">
        <w:t xml:space="preserve"> </w:t>
      </w:r>
      <w:proofErr w:type="spellStart"/>
      <w:r w:rsidRPr="00346099">
        <w:t>effekten</w:t>
      </w:r>
      <w:proofErr w:type="spellEnd"/>
      <w:r w:rsidRPr="00346099">
        <w:t xml:space="preserve"> </w:t>
      </w:r>
      <w:proofErr w:type="spellStart"/>
      <w:r w:rsidRPr="00346099">
        <w:t>af</w:t>
      </w:r>
      <w:proofErr w:type="spellEnd"/>
      <w:r w:rsidRPr="00346099">
        <w:t xml:space="preserve"> direkte </w:t>
      </w:r>
      <w:proofErr w:type="spellStart"/>
      <w:r w:rsidRPr="00346099">
        <w:t>trombinhæmmere</w:t>
      </w:r>
      <w:proofErr w:type="spellEnd"/>
      <w:r w:rsidRPr="00346099">
        <w:t>.</w:t>
      </w:r>
    </w:p>
    <w:p w14:paraId="582D31DE" w14:textId="68B3F3B8" w:rsidR="004567E9" w:rsidRPr="00DB2CE6" w:rsidRDefault="004567E9" w:rsidP="004567E9">
      <w:pPr>
        <w:rPr>
          <w:lang w:val="da-DK"/>
        </w:rPr>
      </w:pPr>
      <w:r w:rsidRPr="00346099">
        <w:t xml:space="preserve">• </w:t>
      </w:r>
      <w:r w:rsidRPr="00346099">
        <w:rPr>
          <w:b/>
          <w:bCs/>
        </w:rPr>
        <w:t>Trombintid i fortyndede plasmaprøver (dTT)</w:t>
      </w:r>
    </w:p>
    <w:p w14:paraId="7726FB8D" w14:textId="49A3EE69" w:rsidR="004567E9" w:rsidRPr="00DB2CE6" w:rsidRDefault="004567E9" w:rsidP="004567E9">
      <w:pPr>
        <w:rPr>
          <w:lang w:val="da-DK"/>
        </w:rPr>
      </w:pPr>
      <w:proofErr w:type="spellStart"/>
      <w:r w:rsidRPr="00346099">
        <w:t>Bestemmelse</w:t>
      </w:r>
      <w:proofErr w:type="spellEnd"/>
      <w:r w:rsidRPr="00346099">
        <w:t xml:space="preserve"> </w:t>
      </w:r>
      <w:proofErr w:type="spellStart"/>
      <w:r w:rsidRPr="00346099">
        <w:t>af</w:t>
      </w:r>
      <w:proofErr w:type="spellEnd"/>
      <w:r w:rsidRPr="00346099">
        <w:t xml:space="preserve"> </w:t>
      </w:r>
      <w:proofErr w:type="spellStart"/>
      <w:r w:rsidRPr="00346099">
        <w:t>trombintiden</w:t>
      </w:r>
      <w:proofErr w:type="spellEnd"/>
      <w:r w:rsidRPr="00346099">
        <w:t xml:space="preserve"> i </w:t>
      </w:r>
      <w:proofErr w:type="spellStart"/>
      <w:r w:rsidRPr="00346099">
        <w:t>fortyndede</w:t>
      </w:r>
      <w:proofErr w:type="spellEnd"/>
      <w:r w:rsidRPr="00346099">
        <w:t xml:space="preserve"> </w:t>
      </w:r>
      <w:proofErr w:type="spellStart"/>
      <w:r w:rsidRPr="00346099">
        <w:t>plasmaprøver</w:t>
      </w:r>
      <w:proofErr w:type="spellEnd"/>
      <w:r w:rsidRPr="00346099">
        <w:t xml:space="preserve"> (</w:t>
      </w:r>
      <w:proofErr w:type="spellStart"/>
      <w:r w:rsidRPr="00346099">
        <w:t>dTT</w:t>
      </w:r>
      <w:proofErr w:type="spellEnd"/>
      <w:r w:rsidRPr="00346099">
        <w:t xml:space="preserve">) med den </w:t>
      </w:r>
      <w:proofErr w:type="spellStart"/>
      <w:r w:rsidRPr="00346099">
        <w:t>kalibrerede</w:t>
      </w:r>
      <w:proofErr w:type="spellEnd"/>
      <w:r w:rsidRPr="00346099">
        <w:t xml:space="preserve"> hæmoclotrombinhæmmertest</w:t>
      </w:r>
      <w:r w:rsidR="00C6145B" w:rsidRPr="00346099">
        <w:rPr>
          <w:vertAlign w:val="superscript"/>
        </w:rPr>
        <w:t xml:space="preserve">5 </w:t>
      </w:r>
      <w:r w:rsidR="00C6145B" w:rsidRPr="00346099">
        <w:t>(</w:t>
      </w:r>
      <w:proofErr w:type="spellStart"/>
      <w:r w:rsidR="00045108" w:rsidRPr="00346099">
        <w:t>distribueret</w:t>
      </w:r>
      <w:proofErr w:type="spellEnd"/>
      <w:r w:rsidR="00045108" w:rsidRPr="00346099">
        <w:t xml:space="preserve"> i </w:t>
      </w:r>
      <w:proofErr w:type="spellStart"/>
      <w:r w:rsidR="00045108" w:rsidRPr="00346099">
        <w:t>Tyskland</w:t>
      </w:r>
      <w:proofErr w:type="spellEnd"/>
      <w:r w:rsidR="00045108" w:rsidRPr="00346099">
        <w:t xml:space="preserve"> </w:t>
      </w:r>
      <w:proofErr w:type="spellStart"/>
      <w:r w:rsidR="00045108" w:rsidRPr="00346099">
        <w:t>af</w:t>
      </w:r>
      <w:proofErr w:type="spellEnd"/>
      <w:r w:rsidR="00045108" w:rsidRPr="00346099">
        <w:t xml:space="preserve"> </w:t>
      </w:r>
      <w:proofErr w:type="spellStart"/>
      <w:r w:rsidR="00045108" w:rsidRPr="00346099">
        <w:t>CoaChrom</w:t>
      </w:r>
      <w:proofErr w:type="spellEnd"/>
      <w:r w:rsidR="00045108" w:rsidRPr="00346099">
        <w:t xml:space="preserve"> Diagnostica GmbH), </w:t>
      </w:r>
      <w:proofErr w:type="spellStart"/>
      <w:r w:rsidR="00045108" w:rsidRPr="00346099">
        <w:t>hvilket</w:t>
      </w:r>
      <w:proofErr w:type="spellEnd"/>
      <w:r w:rsidR="00045108" w:rsidRPr="00346099">
        <w:t xml:space="preserve"> </w:t>
      </w:r>
      <w:proofErr w:type="spellStart"/>
      <w:r w:rsidR="00045108" w:rsidRPr="00346099">
        <w:t>resulterer</w:t>
      </w:r>
      <w:proofErr w:type="spellEnd"/>
      <w:r w:rsidR="00045108" w:rsidRPr="00346099">
        <w:t xml:space="preserve"> i en plasmakoncentration af dabigatran på &gt; 200 ng/ml (ca. &gt; 65 sekunder) før indtagelse af den næste daglige dosis, indikerer en øget risiko for blødning </w:t>
      </w:r>
      <w:r w:rsidRPr="00346099">
        <w:rPr>
          <w:vertAlign w:val="superscript"/>
        </w:rPr>
        <w:t>1</w:t>
      </w:r>
      <w:r w:rsidRPr="00346099">
        <w:t>.</w:t>
      </w:r>
    </w:p>
    <w:p w14:paraId="1E1D1C56" w14:textId="5DD4BE98" w:rsidR="004567E9" w:rsidRPr="00DB2CE6" w:rsidRDefault="004567E9" w:rsidP="00657EB2">
      <w:pPr>
        <w:rPr>
          <w:lang w:val="da-DK"/>
        </w:rPr>
      </w:pPr>
    </w:p>
    <w:p w14:paraId="04EBAD70" w14:textId="77777777" w:rsidR="004567E9" w:rsidRPr="00DB2CE6" w:rsidRDefault="004567E9" w:rsidP="004567E9">
      <w:pPr>
        <w:rPr>
          <w:lang w:val="da-DK"/>
        </w:rPr>
      </w:pPr>
      <w:r w:rsidRPr="00346099">
        <w:rPr>
          <w:b/>
          <w:bCs/>
        </w:rPr>
        <w:t>Tabel 3:</w:t>
      </w:r>
      <w:r w:rsidRPr="00346099">
        <w:t xml:space="preserve"> Koagulationstestgrænser, der kan være forbundet med en øget blødningsrisiko målt ved dalniveau (f.eks. før du tager den næste dosis).</w:t>
      </w:r>
    </w:p>
    <w:p w14:paraId="0D250B1B" w14:textId="61470835" w:rsidR="004567E9" w:rsidRPr="00404699" w:rsidRDefault="004567E9" w:rsidP="004567E9">
      <w:r w:rsidRPr="00346099">
        <w:rPr>
          <w:b/>
          <w:bCs/>
        </w:rPr>
        <w:t>Bemærk:</w:t>
      </w:r>
      <w:r w:rsidRPr="00346099">
        <w:t xml:space="preserve"> I de første 2-3 dage efter operationen kan der forekomme forkert udvidede aflæsninger af aPTT og ECT.</w:t>
      </w:r>
      <w:r w:rsidRPr="00346099">
        <w:rPr>
          <w:vertAlign w:val="superscript"/>
        </w:rPr>
        <w:t xml:space="preserve">2.3 </w:t>
      </w:r>
    </w:p>
    <w:tbl>
      <w:tblPr>
        <w:tblStyle w:val="Tabel-Gitter"/>
        <w:tblW w:w="0" w:type="auto"/>
        <w:tblLook w:val="04A0" w:firstRow="1" w:lastRow="0" w:firstColumn="1" w:lastColumn="0" w:noHBand="0" w:noVBand="1"/>
      </w:tblPr>
      <w:tblGrid>
        <w:gridCol w:w="4531"/>
        <w:gridCol w:w="4531"/>
      </w:tblGrid>
      <w:tr w:rsidR="004567E9" w14:paraId="0DD67FB0" w14:textId="77777777" w:rsidTr="004567E9">
        <w:tc>
          <w:tcPr>
            <w:tcW w:w="4531" w:type="dxa"/>
          </w:tcPr>
          <w:p w14:paraId="3AD5DE2C" w14:textId="6141FD77" w:rsidR="004567E9" w:rsidRDefault="00325491" w:rsidP="004567E9">
            <w:r w:rsidRPr="00325491">
              <w:t>Test (måling af dalniveau)</w:t>
            </w:r>
          </w:p>
        </w:tc>
        <w:tc>
          <w:tcPr>
            <w:tcW w:w="4531" w:type="dxa"/>
          </w:tcPr>
          <w:p w14:paraId="39B91E91" w14:textId="77777777" w:rsidR="004567E9" w:rsidRDefault="004567E9" w:rsidP="004567E9"/>
        </w:tc>
      </w:tr>
      <w:tr w:rsidR="004567E9" w14:paraId="39725E52" w14:textId="77777777" w:rsidTr="004567E9">
        <w:tc>
          <w:tcPr>
            <w:tcW w:w="4531" w:type="dxa"/>
          </w:tcPr>
          <w:p w14:paraId="78ED42B3" w14:textId="1DA31A26" w:rsidR="004567E9" w:rsidRDefault="00325491" w:rsidP="004567E9">
            <w:r w:rsidRPr="00325491">
              <w:t>dTT (ng/ml)</w:t>
            </w:r>
          </w:p>
        </w:tc>
        <w:tc>
          <w:tcPr>
            <w:tcW w:w="4531" w:type="dxa"/>
          </w:tcPr>
          <w:p w14:paraId="4124BCF8" w14:textId="23F68CB3" w:rsidR="004567E9" w:rsidRDefault="00325491" w:rsidP="004567E9">
            <w:r w:rsidRPr="00325491">
              <w:t>&gt; 200</w:t>
            </w:r>
          </w:p>
        </w:tc>
      </w:tr>
      <w:tr w:rsidR="004567E9" w14:paraId="5314AA46" w14:textId="77777777" w:rsidTr="004567E9">
        <w:tc>
          <w:tcPr>
            <w:tcW w:w="4531" w:type="dxa"/>
          </w:tcPr>
          <w:p w14:paraId="73993CAA" w14:textId="3F6C7345" w:rsidR="004567E9" w:rsidRPr="00DB2CE6" w:rsidRDefault="00325491" w:rsidP="004567E9">
            <w:pPr>
              <w:rPr>
                <w:lang w:val="da-DK"/>
              </w:rPr>
            </w:pPr>
            <w:r w:rsidRPr="00346099">
              <w:t xml:space="preserve">ECT (x </w:t>
            </w:r>
            <w:proofErr w:type="spellStart"/>
            <w:r w:rsidRPr="00346099">
              <w:t>gange</w:t>
            </w:r>
            <w:proofErr w:type="spellEnd"/>
            <w:r w:rsidRPr="00346099">
              <w:t xml:space="preserve"> </w:t>
            </w:r>
            <w:proofErr w:type="spellStart"/>
            <w:r w:rsidR="00787F21" w:rsidRPr="00787F21">
              <w:t>øvre</w:t>
            </w:r>
            <w:proofErr w:type="spellEnd"/>
            <w:r w:rsidR="00787F21" w:rsidRPr="00787F21">
              <w:t xml:space="preserve"> </w:t>
            </w:r>
            <w:proofErr w:type="spellStart"/>
            <w:r w:rsidR="00787F21" w:rsidRPr="00787F21">
              <w:t>grænse</w:t>
            </w:r>
            <w:proofErr w:type="spellEnd"/>
            <w:r w:rsidR="00787F21" w:rsidRPr="00787F21">
              <w:t xml:space="preserve"> </w:t>
            </w:r>
            <w:proofErr w:type="spellStart"/>
            <w:r w:rsidR="00787F21" w:rsidRPr="00787F21">
              <w:t>for</w:t>
            </w:r>
            <w:proofErr w:type="spellEnd"/>
            <w:r w:rsidR="00787F21" w:rsidRPr="00787F21">
              <w:t xml:space="preserve"> </w:t>
            </w:r>
            <w:proofErr w:type="spellStart"/>
            <w:r w:rsidR="00787F21" w:rsidRPr="00787F21">
              <w:t>normalværdi</w:t>
            </w:r>
            <w:proofErr w:type="spellEnd"/>
            <w:r w:rsidRPr="00346099">
              <w:t>)</w:t>
            </w:r>
          </w:p>
        </w:tc>
        <w:tc>
          <w:tcPr>
            <w:tcW w:w="4531" w:type="dxa"/>
          </w:tcPr>
          <w:p w14:paraId="58B92D88" w14:textId="052F46FF" w:rsidR="004567E9" w:rsidRDefault="00325491" w:rsidP="004567E9">
            <w:r w:rsidRPr="00325491">
              <w:t>&gt; 3</w:t>
            </w:r>
          </w:p>
        </w:tc>
      </w:tr>
      <w:tr w:rsidR="004567E9" w14:paraId="76F67471" w14:textId="77777777" w:rsidTr="004567E9">
        <w:tc>
          <w:tcPr>
            <w:tcW w:w="4531" w:type="dxa"/>
          </w:tcPr>
          <w:p w14:paraId="5AD52089" w14:textId="75483B1E" w:rsidR="004567E9" w:rsidRPr="00DB2CE6" w:rsidRDefault="00325491" w:rsidP="004567E9">
            <w:pPr>
              <w:rPr>
                <w:lang w:val="da-DK"/>
              </w:rPr>
            </w:pPr>
            <w:proofErr w:type="spellStart"/>
            <w:r w:rsidRPr="00346099">
              <w:t>aPTT</w:t>
            </w:r>
            <w:proofErr w:type="spellEnd"/>
            <w:r w:rsidRPr="00346099">
              <w:t xml:space="preserve"> (x </w:t>
            </w:r>
            <w:proofErr w:type="spellStart"/>
            <w:r w:rsidRPr="00346099">
              <w:t>gange</w:t>
            </w:r>
            <w:proofErr w:type="spellEnd"/>
            <w:r w:rsidRPr="00346099">
              <w:t xml:space="preserve"> </w:t>
            </w:r>
            <w:proofErr w:type="spellStart"/>
            <w:r w:rsidR="00787F21" w:rsidRPr="00787F21">
              <w:t>øvre</w:t>
            </w:r>
            <w:proofErr w:type="spellEnd"/>
            <w:r w:rsidR="00787F21" w:rsidRPr="00787F21">
              <w:t xml:space="preserve"> </w:t>
            </w:r>
            <w:proofErr w:type="spellStart"/>
            <w:r w:rsidR="00787F21" w:rsidRPr="00787F21">
              <w:t>grænse</w:t>
            </w:r>
            <w:proofErr w:type="spellEnd"/>
            <w:r w:rsidR="00787F21" w:rsidRPr="00787F21">
              <w:t xml:space="preserve"> </w:t>
            </w:r>
            <w:proofErr w:type="spellStart"/>
            <w:r w:rsidR="00787F21" w:rsidRPr="00787F21">
              <w:t>for</w:t>
            </w:r>
            <w:proofErr w:type="spellEnd"/>
            <w:r w:rsidR="00787F21" w:rsidRPr="00787F21">
              <w:t xml:space="preserve"> </w:t>
            </w:r>
            <w:proofErr w:type="spellStart"/>
            <w:r w:rsidR="00787F21" w:rsidRPr="00787F21">
              <w:t>normalværdi</w:t>
            </w:r>
            <w:proofErr w:type="spellEnd"/>
            <w:r w:rsidRPr="00346099">
              <w:t>)</w:t>
            </w:r>
          </w:p>
        </w:tc>
        <w:tc>
          <w:tcPr>
            <w:tcW w:w="4531" w:type="dxa"/>
          </w:tcPr>
          <w:p w14:paraId="3D4E1132" w14:textId="7FAD0ACF" w:rsidR="004567E9" w:rsidRDefault="00325491" w:rsidP="004567E9">
            <w:r w:rsidRPr="00325491">
              <w:t>&gt; 2</w:t>
            </w:r>
          </w:p>
        </w:tc>
      </w:tr>
      <w:tr w:rsidR="004567E9" w14:paraId="13DB3FAF" w14:textId="77777777" w:rsidTr="004567E9">
        <w:tc>
          <w:tcPr>
            <w:tcW w:w="4531" w:type="dxa"/>
          </w:tcPr>
          <w:p w14:paraId="67DE059D" w14:textId="1462A9E9" w:rsidR="004567E9" w:rsidRDefault="00325491" w:rsidP="004567E9">
            <w:r w:rsidRPr="00325491">
              <w:t>INR</w:t>
            </w:r>
          </w:p>
        </w:tc>
        <w:tc>
          <w:tcPr>
            <w:tcW w:w="4531" w:type="dxa"/>
          </w:tcPr>
          <w:p w14:paraId="4B8A4DE6" w14:textId="1C70FB72" w:rsidR="004567E9" w:rsidRDefault="00325491" w:rsidP="004567E9">
            <w:r w:rsidRPr="00325491">
              <w:t>Bør ikke måles</w:t>
            </w:r>
          </w:p>
        </w:tc>
      </w:tr>
    </w:tbl>
    <w:p w14:paraId="4BE431E4" w14:textId="0C5AD365" w:rsidR="004567E9" w:rsidRDefault="004567E9" w:rsidP="004567E9"/>
    <w:p w14:paraId="136C7BD2" w14:textId="7740D23C" w:rsidR="004567E9" w:rsidRPr="00DB2CE6" w:rsidRDefault="00754B62" w:rsidP="004567E9">
      <w:pPr>
        <w:rPr>
          <w:lang w:val="da-DK"/>
        </w:rPr>
      </w:pPr>
      <w:r w:rsidRPr="00346099">
        <w:rPr>
          <w:b/>
          <w:bCs/>
        </w:rPr>
        <w:t>Timing:</w:t>
      </w:r>
      <w:r w:rsidRPr="00346099">
        <w:t xml:space="preserve"> Koagulationsparametrene afhænger af tidspunktet for at tage blodprøven og tidspunktet for at tage den sidste dosis. En </w:t>
      </w:r>
      <w:proofErr w:type="spellStart"/>
      <w:r w:rsidRPr="00346099">
        <w:t>blodprøve</w:t>
      </w:r>
      <w:proofErr w:type="spellEnd"/>
      <w:r w:rsidRPr="00346099">
        <w:t xml:space="preserve"> taget 2 </w:t>
      </w:r>
      <w:proofErr w:type="spellStart"/>
      <w:r w:rsidRPr="00346099">
        <w:t>timer</w:t>
      </w:r>
      <w:proofErr w:type="spellEnd"/>
      <w:r w:rsidRPr="00346099">
        <w:t xml:space="preserve"> </w:t>
      </w:r>
      <w:proofErr w:type="spellStart"/>
      <w:r w:rsidRPr="00346099">
        <w:t>efter</w:t>
      </w:r>
      <w:proofErr w:type="spellEnd"/>
      <w:r w:rsidRPr="00346099">
        <w:t xml:space="preserve"> </w:t>
      </w:r>
      <w:proofErr w:type="spellStart"/>
      <w:r w:rsidRPr="00346099">
        <w:t>indtagelse</w:t>
      </w:r>
      <w:proofErr w:type="spellEnd"/>
      <w:r w:rsidRPr="00346099">
        <w:t xml:space="preserve"> </w:t>
      </w:r>
      <w:proofErr w:type="spellStart"/>
      <w:r w:rsidRPr="00346099">
        <w:t>af</w:t>
      </w:r>
      <w:proofErr w:type="spellEnd"/>
      <w:r w:rsidRPr="00346099">
        <w:t xml:space="preserve"> </w:t>
      </w:r>
      <w:proofErr w:type="spellStart"/>
      <w:r w:rsidRPr="00346099">
        <w:t>dabigatrannetexilat</w:t>
      </w:r>
      <w:proofErr w:type="spellEnd"/>
      <w:r w:rsidRPr="00346099">
        <w:t xml:space="preserve"> (</w:t>
      </w:r>
      <w:proofErr w:type="spellStart"/>
      <w:r w:rsidRPr="00346099">
        <w:t>maksimalt</w:t>
      </w:r>
      <w:proofErr w:type="spellEnd"/>
      <w:r w:rsidRPr="00346099">
        <w:t xml:space="preserve"> </w:t>
      </w:r>
      <w:proofErr w:type="spellStart"/>
      <w:r w:rsidRPr="00346099">
        <w:t>lægemiddelniveau</w:t>
      </w:r>
      <w:proofErr w:type="spellEnd"/>
      <w:r w:rsidRPr="00346099">
        <w:t xml:space="preserve">) </w:t>
      </w:r>
      <w:proofErr w:type="spellStart"/>
      <w:r w:rsidRPr="00346099">
        <w:t>vil</w:t>
      </w:r>
      <w:proofErr w:type="spellEnd"/>
      <w:r w:rsidRPr="00346099">
        <w:t xml:space="preserve"> </w:t>
      </w:r>
      <w:proofErr w:type="spellStart"/>
      <w:r w:rsidRPr="00346099">
        <w:t>give</w:t>
      </w:r>
      <w:proofErr w:type="spellEnd"/>
      <w:r w:rsidRPr="00346099">
        <w:t xml:space="preserve"> </w:t>
      </w:r>
      <w:proofErr w:type="spellStart"/>
      <w:r w:rsidRPr="00346099">
        <w:t>forskellige</w:t>
      </w:r>
      <w:proofErr w:type="spellEnd"/>
      <w:r w:rsidRPr="00346099">
        <w:t xml:space="preserve"> (</w:t>
      </w:r>
      <w:proofErr w:type="spellStart"/>
      <w:r w:rsidRPr="00346099">
        <w:t>højere</w:t>
      </w:r>
      <w:proofErr w:type="spellEnd"/>
      <w:r w:rsidRPr="00346099">
        <w:t xml:space="preserve">) </w:t>
      </w:r>
      <w:proofErr w:type="spellStart"/>
      <w:r w:rsidRPr="00346099">
        <w:t>resultater</w:t>
      </w:r>
      <w:proofErr w:type="spellEnd"/>
      <w:r w:rsidRPr="00346099">
        <w:t xml:space="preserve"> </w:t>
      </w:r>
      <w:proofErr w:type="spellStart"/>
      <w:r w:rsidRPr="00346099">
        <w:t>ved</w:t>
      </w:r>
      <w:proofErr w:type="spellEnd"/>
      <w:r w:rsidRPr="00346099">
        <w:t xml:space="preserve"> alle </w:t>
      </w:r>
      <w:proofErr w:type="spellStart"/>
      <w:r w:rsidRPr="00346099">
        <w:t>koagulationsniveauer</w:t>
      </w:r>
      <w:proofErr w:type="spellEnd"/>
      <w:r w:rsidRPr="00346099">
        <w:t xml:space="preserve"> end en </w:t>
      </w:r>
      <w:proofErr w:type="spellStart"/>
      <w:r w:rsidRPr="00346099">
        <w:t>blodprøve</w:t>
      </w:r>
      <w:proofErr w:type="spellEnd"/>
      <w:r w:rsidRPr="00346099">
        <w:t xml:space="preserve"> taget 10-16 </w:t>
      </w:r>
      <w:proofErr w:type="spellStart"/>
      <w:r w:rsidRPr="00346099">
        <w:t>timer</w:t>
      </w:r>
      <w:proofErr w:type="spellEnd"/>
      <w:r w:rsidRPr="00346099">
        <w:t xml:space="preserve"> </w:t>
      </w:r>
      <w:proofErr w:type="spellStart"/>
      <w:r w:rsidRPr="00346099">
        <w:t>efter</w:t>
      </w:r>
      <w:proofErr w:type="spellEnd"/>
      <w:r w:rsidRPr="00346099">
        <w:t xml:space="preserve"> at </w:t>
      </w:r>
      <w:proofErr w:type="spellStart"/>
      <w:r w:rsidRPr="00346099">
        <w:t>have</w:t>
      </w:r>
      <w:proofErr w:type="spellEnd"/>
      <w:r w:rsidRPr="00346099">
        <w:t xml:space="preserve"> taget den </w:t>
      </w:r>
      <w:proofErr w:type="spellStart"/>
      <w:r w:rsidRPr="00346099">
        <w:t>samme</w:t>
      </w:r>
      <w:proofErr w:type="spellEnd"/>
      <w:r w:rsidRPr="00346099">
        <w:t xml:space="preserve"> </w:t>
      </w:r>
      <w:proofErr w:type="spellStart"/>
      <w:r w:rsidRPr="00346099">
        <w:t>dosis</w:t>
      </w:r>
      <w:proofErr w:type="spellEnd"/>
      <w:r w:rsidRPr="00346099">
        <w:t xml:space="preserve"> (</w:t>
      </w:r>
      <w:proofErr w:type="spellStart"/>
      <w:r w:rsidRPr="00346099">
        <w:t>minimum</w:t>
      </w:r>
      <w:proofErr w:type="spellEnd"/>
      <w:r w:rsidRPr="00346099">
        <w:t xml:space="preserve"> </w:t>
      </w:r>
      <w:proofErr w:type="spellStart"/>
      <w:r w:rsidRPr="00346099">
        <w:t>lægemiddelniveau</w:t>
      </w:r>
      <w:proofErr w:type="spellEnd"/>
      <w:r w:rsidRPr="00346099">
        <w:t>).</w:t>
      </w:r>
    </w:p>
    <w:p w14:paraId="278D209B" w14:textId="364B410B" w:rsidR="004567E9" w:rsidRPr="00DB2CE6" w:rsidRDefault="004567E9" w:rsidP="004567E9">
      <w:pPr>
        <w:rPr>
          <w:lang w:val="da-DK"/>
        </w:rPr>
      </w:pPr>
    </w:p>
    <w:p w14:paraId="000B1EF0" w14:textId="77777777" w:rsidR="003F2CEE" w:rsidRPr="00DB2CE6" w:rsidRDefault="003F2CEE" w:rsidP="004567E9">
      <w:pPr>
        <w:rPr>
          <w:lang w:val="da-DK"/>
        </w:rPr>
      </w:pPr>
    </w:p>
    <w:p w14:paraId="60737C55" w14:textId="53F698A8" w:rsidR="00754B62" w:rsidRPr="00DB2CE6" w:rsidRDefault="003F2CEE" w:rsidP="004567E9">
      <w:pPr>
        <w:rPr>
          <w:b/>
          <w:bCs/>
          <w:sz w:val="28"/>
          <w:szCs w:val="28"/>
          <w:vertAlign w:val="superscript"/>
          <w:lang w:val="da-DK"/>
        </w:rPr>
      </w:pPr>
      <w:bookmarkStart w:id="7" w:name="_Toc161922290"/>
      <w:r w:rsidRPr="00346099">
        <w:rPr>
          <w:rStyle w:val="Overskrift1Tegn"/>
        </w:rPr>
        <w:t>Overdosis</w:t>
      </w:r>
      <w:bookmarkEnd w:id="7"/>
      <w:r w:rsidRPr="00346099">
        <w:rPr>
          <w:b/>
          <w:bCs/>
          <w:sz w:val="28"/>
          <w:szCs w:val="28"/>
          <w:vertAlign w:val="superscript"/>
        </w:rPr>
        <w:t>1.2</w:t>
      </w:r>
    </w:p>
    <w:p w14:paraId="1B28F483" w14:textId="16085BF4" w:rsidR="003F2CEE" w:rsidRPr="00DB2CE6" w:rsidRDefault="003F2CEE" w:rsidP="003F2CEE">
      <w:pPr>
        <w:rPr>
          <w:lang w:val="da-DK"/>
        </w:rPr>
      </w:pPr>
      <w:r w:rsidRPr="00346099">
        <w:t xml:space="preserve">Hvis der er </w:t>
      </w:r>
      <w:proofErr w:type="spellStart"/>
      <w:r w:rsidRPr="00346099">
        <w:t>mistanke</w:t>
      </w:r>
      <w:proofErr w:type="spellEnd"/>
      <w:r w:rsidRPr="00346099">
        <w:t xml:space="preserve"> </w:t>
      </w:r>
      <w:proofErr w:type="spellStart"/>
      <w:r w:rsidRPr="00346099">
        <w:t>om</w:t>
      </w:r>
      <w:proofErr w:type="spellEnd"/>
      <w:r w:rsidRPr="00346099">
        <w:t xml:space="preserve"> en </w:t>
      </w:r>
      <w:proofErr w:type="spellStart"/>
      <w:r w:rsidRPr="00346099">
        <w:t>overdosis</w:t>
      </w:r>
      <w:proofErr w:type="spellEnd"/>
      <w:r w:rsidRPr="00346099">
        <w:t xml:space="preserve">, </w:t>
      </w:r>
      <w:proofErr w:type="spellStart"/>
      <w:r w:rsidRPr="00346099">
        <w:t>kan</w:t>
      </w:r>
      <w:proofErr w:type="spellEnd"/>
      <w:r w:rsidRPr="00346099">
        <w:t xml:space="preserve"> </w:t>
      </w:r>
      <w:proofErr w:type="spellStart"/>
      <w:r w:rsidRPr="00346099">
        <w:t>udførelse</w:t>
      </w:r>
      <w:proofErr w:type="spellEnd"/>
      <w:r w:rsidRPr="00346099">
        <w:t xml:space="preserve"> </w:t>
      </w:r>
      <w:proofErr w:type="spellStart"/>
      <w:r w:rsidRPr="00346099">
        <w:t>af</w:t>
      </w:r>
      <w:proofErr w:type="spellEnd"/>
      <w:r w:rsidRPr="00346099">
        <w:t xml:space="preserve"> </w:t>
      </w:r>
      <w:proofErr w:type="spellStart"/>
      <w:r w:rsidRPr="00346099">
        <w:t>koagulationstest</w:t>
      </w:r>
      <w:proofErr w:type="spellEnd"/>
      <w:r w:rsidRPr="00346099">
        <w:t xml:space="preserve"> </w:t>
      </w:r>
      <w:proofErr w:type="spellStart"/>
      <w:r w:rsidRPr="00346099">
        <w:t>hjælpe</w:t>
      </w:r>
      <w:proofErr w:type="spellEnd"/>
      <w:r w:rsidRPr="00346099">
        <w:t xml:space="preserve"> med at </w:t>
      </w:r>
      <w:proofErr w:type="spellStart"/>
      <w:r w:rsidRPr="00346099">
        <w:t>vurdere</w:t>
      </w:r>
      <w:proofErr w:type="spellEnd"/>
      <w:r w:rsidRPr="00346099">
        <w:t xml:space="preserve"> </w:t>
      </w:r>
      <w:proofErr w:type="spellStart"/>
      <w:r w:rsidRPr="00346099">
        <w:t>risikoen</w:t>
      </w:r>
      <w:proofErr w:type="spellEnd"/>
      <w:r w:rsidRPr="00346099">
        <w:t xml:space="preserve"> </w:t>
      </w:r>
      <w:proofErr w:type="spellStart"/>
      <w:r w:rsidRPr="00346099">
        <w:t>for</w:t>
      </w:r>
      <w:proofErr w:type="spellEnd"/>
      <w:r w:rsidRPr="00346099">
        <w:t xml:space="preserve"> </w:t>
      </w:r>
      <w:proofErr w:type="spellStart"/>
      <w:r w:rsidRPr="00346099">
        <w:t>blødning</w:t>
      </w:r>
      <w:proofErr w:type="spellEnd"/>
      <w:r w:rsidRPr="00346099">
        <w:t>.</w:t>
      </w:r>
      <w:r w:rsidR="007C64D7" w:rsidRPr="007C64D7">
        <w:t xml:space="preserve"> </w:t>
      </w:r>
      <w:proofErr w:type="spellStart"/>
      <w:r w:rsidR="003114F5">
        <w:t>Overdreven</w:t>
      </w:r>
      <w:proofErr w:type="spellEnd"/>
      <w:r w:rsidR="003114F5">
        <w:t xml:space="preserve"> </w:t>
      </w:r>
      <w:proofErr w:type="spellStart"/>
      <w:r w:rsidR="003114F5">
        <w:t>brug</w:t>
      </w:r>
      <w:proofErr w:type="spellEnd"/>
      <w:r w:rsidR="007C64D7" w:rsidRPr="007C64D7">
        <w:t xml:space="preserve"> </w:t>
      </w:r>
      <w:proofErr w:type="spellStart"/>
      <w:r w:rsidR="007C64D7" w:rsidRPr="007C64D7">
        <w:t>af</w:t>
      </w:r>
      <w:proofErr w:type="spellEnd"/>
      <w:r w:rsidR="007C64D7" w:rsidRPr="007C64D7">
        <w:t xml:space="preserve"> </w:t>
      </w:r>
      <w:proofErr w:type="spellStart"/>
      <w:r w:rsidR="007C64D7" w:rsidRPr="007C64D7">
        <w:t>antikoagulering</w:t>
      </w:r>
      <w:proofErr w:type="spellEnd"/>
      <w:r w:rsidR="007C64D7" w:rsidRPr="007C64D7">
        <w:t xml:space="preserve"> </w:t>
      </w:r>
      <w:proofErr w:type="spellStart"/>
      <w:r w:rsidR="007C64D7" w:rsidRPr="007C64D7">
        <w:t>kan</w:t>
      </w:r>
      <w:proofErr w:type="spellEnd"/>
      <w:r w:rsidR="007C64D7" w:rsidRPr="007C64D7">
        <w:t xml:space="preserve"> </w:t>
      </w:r>
      <w:proofErr w:type="spellStart"/>
      <w:r w:rsidR="007C64D7" w:rsidRPr="007C64D7">
        <w:t>betyde</w:t>
      </w:r>
      <w:proofErr w:type="spellEnd"/>
      <w:r w:rsidR="007C64D7" w:rsidRPr="007C64D7">
        <w:t xml:space="preserve">, at </w:t>
      </w:r>
      <w:proofErr w:type="spellStart"/>
      <w:r w:rsidR="007C64D7" w:rsidRPr="007C64D7">
        <w:t>behandlingen</w:t>
      </w:r>
      <w:proofErr w:type="spellEnd"/>
      <w:r w:rsidR="007C64D7" w:rsidRPr="007C64D7">
        <w:t xml:space="preserve"> med </w:t>
      </w:r>
      <w:proofErr w:type="spellStart"/>
      <w:r w:rsidR="007C64D7" w:rsidRPr="007C64D7">
        <w:t>dabigatranetexilat</w:t>
      </w:r>
      <w:proofErr w:type="spellEnd"/>
      <w:r w:rsidR="007C64D7" w:rsidRPr="007C64D7">
        <w:t xml:space="preserve"> </w:t>
      </w:r>
      <w:proofErr w:type="spellStart"/>
      <w:r w:rsidR="007C64D7" w:rsidRPr="007C64D7">
        <w:t>skal</w:t>
      </w:r>
      <w:proofErr w:type="spellEnd"/>
      <w:r w:rsidR="007C64D7" w:rsidRPr="007C64D7">
        <w:t xml:space="preserve"> </w:t>
      </w:r>
      <w:proofErr w:type="spellStart"/>
      <w:r w:rsidR="007C64D7" w:rsidRPr="007C64D7">
        <w:t>seponeres</w:t>
      </w:r>
      <w:proofErr w:type="spellEnd"/>
      <w:r w:rsidRPr="00346099">
        <w:t xml:space="preserve">. Da dabigatran overvejende udskilles renalt, skal der sikres tilstrækkelig diurese. På grund af den lave plasmabinding er dabigatran dialyseegnet; Der er begrænset klinisk erfaring, der viser fordelene ved denne tilgang i kliniske forsøg. Overdosering af dabigatranetexilat kan forårsage blødning. I tilfælde af hæmoragiske komplikationer bør behandling med dabigatraneksilat seponeres, og blødningskilden bør bestemmes (se afsnittet Behandling af blødningskomplikationer). Generelle </w:t>
      </w:r>
      <w:proofErr w:type="spellStart"/>
      <w:r w:rsidRPr="00346099">
        <w:t>støtteforanstaltninger</w:t>
      </w:r>
      <w:proofErr w:type="spellEnd"/>
      <w:r w:rsidRPr="00346099">
        <w:t xml:space="preserve"> </w:t>
      </w:r>
      <w:proofErr w:type="spellStart"/>
      <w:r w:rsidRPr="00346099">
        <w:t>såsom</w:t>
      </w:r>
      <w:proofErr w:type="spellEnd"/>
      <w:r w:rsidRPr="00346099">
        <w:t xml:space="preserve"> </w:t>
      </w:r>
      <w:proofErr w:type="spellStart"/>
      <w:r w:rsidRPr="00346099">
        <w:t>anvendelse</w:t>
      </w:r>
      <w:proofErr w:type="spellEnd"/>
      <w:r w:rsidRPr="00346099">
        <w:t xml:space="preserve"> </w:t>
      </w:r>
      <w:proofErr w:type="spellStart"/>
      <w:r w:rsidRPr="00346099">
        <w:t>af</w:t>
      </w:r>
      <w:proofErr w:type="spellEnd"/>
      <w:r w:rsidRPr="00346099">
        <w:t xml:space="preserve"> </w:t>
      </w:r>
      <w:proofErr w:type="spellStart"/>
      <w:r w:rsidRPr="00346099">
        <w:t>aktivt</w:t>
      </w:r>
      <w:proofErr w:type="spellEnd"/>
      <w:r w:rsidRPr="00346099">
        <w:t xml:space="preserve"> </w:t>
      </w:r>
      <w:proofErr w:type="spellStart"/>
      <w:r w:rsidRPr="00346099">
        <w:t>kul</w:t>
      </w:r>
      <w:proofErr w:type="spellEnd"/>
      <w:r w:rsidRPr="00346099">
        <w:t xml:space="preserve"> </w:t>
      </w:r>
      <w:proofErr w:type="spellStart"/>
      <w:r w:rsidRPr="00346099">
        <w:t>for</w:t>
      </w:r>
      <w:proofErr w:type="spellEnd"/>
      <w:r w:rsidRPr="00346099">
        <w:t xml:space="preserve"> at </w:t>
      </w:r>
      <w:proofErr w:type="spellStart"/>
      <w:r w:rsidRPr="00346099">
        <w:t>reducere</w:t>
      </w:r>
      <w:proofErr w:type="spellEnd"/>
      <w:r w:rsidRPr="00346099">
        <w:t xml:space="preserve"> </w:t>
      </w:r>
      <w:proofErr w:type="spellStart"/>
      <w:r w:rsidRPr="00346099">
        <w:t>absorptionen</w:t>
      </w:r>
      <w:proofErr w:type="spellEnd"/>
      <w:r w:rsidRPr="00346099">
        <w:t xml:space="preserve"> </w:t>
      </w:r>
      <w:proofErr w:type="spellStart"/>
      <w:r w:rsidRPr="00346099">
        <w:t>kan</w:t>
      </w:r>
      <w:proofErr w:type="spellEnd"/>
      <w:r w:rsidRPr="00346099">
        <w:t xml:space="preserve"> </w:t>
      </w:r>
      <w:proofErr w:type="spellStart"/>
      <w:r w:rsidRPr="00346099">
        <w:t>overvejes</w:t>
      </w:r>
      <w:proofErr w:type="spellEnd"/>
      <w:r w:rsidRPr="00346099">
        <w:t>.</w:t>
      </w:r>
    </w:p>
    <w:p w14:paraId="0D390B6D" w14:textId="729B9A0E" w:rsidR="003F2CEE" w:rsidRPr="00DB2CE6" w:rsidRDefault="003F2CEE" w:rsidP="003F2CEE">
      <w:pPr>
        <w:rPr>
          <w:lang w:val="da-DK"/>
        </w:rPr>
      </w:pPr>
    </w:p>
    <w:p w14:paraId="5671EDB1" w14:textId="24AE33DE" w:rsidR="003F2CEE" w:rsidRPr="00DB2CE6" w:rsidRDefault="003F2CEE" w:rsidP="003F2CEE">
      <w:pPr>
        <w:rPr>
          <w:b/>
          <w:bCs/>
          <w:sz w:val="28"/>
          <w:szCs w:val="28"/>
          <w:lang w:val="da-DK"/>
        </w:rPr>
      </w:pPr>
      <w:bookmarkStart w:id="8" w:name="_Toc161922291"/>
      <w:r w:rsidRPr="00346099">
        <w:rPr>
          <w:rStyle w:val="Overskrift1Tegn"/>
        </w:rPr>
        <w:t>Behandling af blødningskomplikationer</w:t>
      </w:r>
      <w:bookmarkEnd w:id="8"/>
      <w:r w:rsidRPr="00346099">
        <w:rPr>
          <w:b/>
          <w:bCs/>
          <w:sz w:val="28"/>
          <w:szCs w:val="28"/>
          <w:vertAlign w:val="superscript"/>
        </w:rPr>
        <w:t>1,2,9</w:t>
      </w:r>
    </w:p>
    <w:p w14:paraId="7983FF6E" w14:textId="7363AA33" w:rsidR="003F2CEE" w:rsidRPr="00DB2CE6" w:rsidRDefault="003F2CEE" w:rsidP="003F2CEE">
      <w:pPr>
        <w:rPr>
          <w:lang w:val="da-DK"/>
        </w:rPr>
      </w:pPr>
      <w:proofErr w:type="spellStart"/>
      <w:r w:rsidRPr="00346099">
        <w:t>Hvis</w:t>
      </w:r>
      <w:proofErr w:type="spellEnd"/>
      <w:r w:rsidRPr="00346099">
        <w:t xml:space="preserve"> hurtig </w:t>
      </w:r>
      <w:proofErr w:type="spellStart"/>
      <w:r w:rsidRPr="00346099">
        <w:t>reversering</w:t>
      </w:r>
      <w:proofErr w:type="spellEnd"/>
      <w:r w:rsidRPr="00346099">
        <w:t xml:space="preserve"> </w:t>
      </w:r>
      <w:proofErr w:type="spellStart"/>
      <w:r w:rsidRPr="00346099">
        <w:t>af</w:t>
      </w:r>
      <w:proofErr w:type="spellEnd"/>
      <w:r w:rsidRPr="00346099">
        <w:t xml:space="preserve"> </w:t>
      </w:r>
      <w:proofErr w:type="spellStart"/>
      <w:r w:rsidRPr="00346099">
        <w:t>dabigatran's</w:t>
      </w:r>
      <w:proofErr w:type="spellEnd"/>
      <w:r w:rsidRPr="00346099">
        <w:t xml:space="preserve"> </w:t>
      </w:r>
      <w:proofErr w:type="spellStart"/>
      <w:r w:rsidRPr="00346099">
        <w:t>antikoagulerende</w:t>
      </w:r>
      <w:proofErr w:type="spellEnd"/>
      <w:r w:rsidRPr="00346099">
        <w:t xml:space="preserve"> </w:t>
      </w:r>
      <w:proofErr w:type="spellStart"/>
      <w:r w:rsidRPr="00346099">
        <w:t>virkning</w:t>
      </w:r>
      <w:proofErr w:type="spellEnd"/>
      <w:r w:rsidRPr="00346099">
        <w:t xml:space="preserve"> er </w:t>
      </w:r>
      <w:proofErr w:type="spellStart"/>
      <w:r w:rsidRPr="00346099">
        <w:t>nødvendig</w:t>
      </w:r>
      <w:proofErr w:type="spellEnd"/>
      <w:r w:rsidRPr="00346099">
        <w:t xml:space="preserve"> i </w:t>
      </w:r>
      <w:proofErr w:type="spellStart"/>
      <w:r w:rsidRPr="00346099">
        <w:t>situationer</w:t>
      </w:r>
      <w:proofErr w:type="spellEnd"/>
      <w:r w:rsidRPr="00346099">
        <w:t xml:space="preserve"> med </w:t>
      </w:r>
      <w:proofErr w:type="spellStart"/>
      <w:r w:rsidRPr="00346099">
        <w:t>livstruende</w:t>
      </w:r>
      <w:proofErr w:type="spellEnd"/>
      <w:r w:rsidRPr="00346099">
        <w:t xml:space="preserve"> </w:t>
      </w:r>
      <w:proofErr w:type="spellStart"/>
      <w:r w:rsidRPr="00346099">
        <w:t>eller</w:t>
      </w:r>
      <w:proofErr w:type="spellEnd"/>
      <w:r w:rsidRPr="00346099">
        <w:t xml:space="preserve"> </w:t>
      </w:r>
      <w:proofErr w:type="spellStart"/>
      <w:r w:rsidRPr="00346099">
        <w:t>ukontrollabel</w:t>
      </w:r>
      <w:proofErr w:type="spellEnd"/>
      <w:r w:rsidRPr="00346099">
        <w:t xml:space="preserve"> </w:t>
      </w:r>
      <w:proofErr w:type="spellStart"/>
      <w:r w:rsidRPr="00346099">
        <w:t>blødning</w:t>
      </w:r>
      <w:proofErr w:type="spellEnd"/>
      <w:r w:rsidRPr="00346099">
        <w:t xml:space="preserve">, er en </w:t>
      </w:r>
      <w:proofErr w:type="spellStart"/>
      <w:r w:rsidRPr="00346099">
        <w:t>specifik</w:t>
      </w:r>
      <w:proofErr w:type="spellEnd"/>
      <w:r w:rsidRPr="00346099">
        <w:t xml:space="preserve"> </w:t>
      </w:r>
      <w:proofErr w:type="spellStart"/>
      <w:r w:rsidRPr="00346099">
        <w:t>modgift</w:t>
      </w:r>
      <w:proofErr w:type="spellEnd"/>
      <w:r w:rsidRPr="00346099">
        <w:t xml:space="preserve"> (</w:t>
      </w:r>
      <w:proofErr w:type="spellStart"/>
      <w:r w:rsidRPr="00346099">
        <w:t>idarucizumab</w:t>
      </w:r>
      <w:proofErr w:type="spellEnd"/>
      <w:r w:rsidRPr="00346099">
        <w:t xml:space="preserve">) </w:t>
      </w:r>
      <w:proofErr w:type="spellStart"/>
      <w:r w:rsidRPr="00346099">
        <w:t>tilgængelig</w:t>
      </w:r>
      <w:proofErr w:type="spellEnd"/>
      <w:r w:rsidRPr="00346099">
        <w:t>.</w:t>
      </w:r>
    </w:p>
    <w:p w14:paraId="42C4C970" w14:textId="25ECC9EC" w:rsidR="00754B62" w:rsidRPr="00DB2CE6" w:rsidRDefault="003F2CEE" w:rsidP="003F2CEE">
      <w:pPr>
        <w:rPr>
          <w:lang w:val="da-DK"/>
        </w:rPr>
      </w:pPr>
      <w:r w:rsidRPr="00346099">
        <w:t xml:space="preserve">Afhængigt af den kliniske situation bør passende understøttende behandling, såsom kirurgisk hæmostase eller udskiftning af blodvolumen, initieres. </w:t>
      </w:r>
      <w:proofErr w:type="spellStart"/>
      <w:r w:rsidRPr="00346099">
        <w:t>Det</w:t>
      </w:r>
      <w:proofErr w:type="spellEnd"/>
      <w:r w:rsidRPr="00346099">
        <w:t xml:space="preserve"> </w:t>
      </w:r>
      <w:proofErr w:type="spellStart"/>
      <w:r w:rsidRPr="00346099">
        <w:t>bør</w:t>
      </w:r>
      <w:proofErr w:type="spellEnd"/>
      <w:r w:rsidRPr="00346099">
        <w:t xml:space="preserve"> </w:t>
      </w:r>
      <w:proofErr w:type="spellStart"/>
      <w:r w:rsidRPr="00346099">
        <w:t>også</w:t>
      </w:r>
      <w:proofErr w:type="spellEnd"/>
      <w:r w:rsidRPr="00346099">
        <w:t xml:space="preserve"> </w:t>
      </w:r>
      <w:proofErr w:type="spellStart"/>
      <w:r w:rsidRPr="00346099">
        <w:t>overvejes</w:t>
      </w:r>
      <w:proofErr w:type="spellEnd"/>
      <w:r w:rsidRPr="00346099">
        <w:t xml:space="preserve"> at </w:t>
      </w:r>
      <w:proofErr w:type="spellStart"/>
      <w:r w:rsidRPr="00346099">
        <w:t>anvende</w:t>
      </w:r>
      <w:proofErr w:type="spellEnd"/>
      <w:r w:rsidRPr="00346099">
        <w:t xml:space="preserve"> </w:t>
      </w:r>
      <w:proofErr w:type="spellStart"/>
      <w:r w:rsidRPr="00346099">
        <w:t>frisk</w:t>
      </w:r>
      <w:proofErr w:type="spellEnd"/>
      <w:r w:rsidRPr="00346099">
        <w:t xml:space="preserve"> </w:t>
      </w:r>
      <w:proofErr w:type="spellStart"/>
      <w:r w:rsidRPr="00346099">
        <w:t>fuldblod</w:t>
      </w:r>
      <w:proofErr w:type="spellEnd"/>
      <w:r w:rsidRPr="00346099">
        <w:t xml:space="preserve">, </w:t>
      </w:r>
      <w:proofErr w:type="spellStart"/>
      <w:r w:rsidRPr="00346099">
        <w:t>frisk</w:t>
      </w:r>
      <w:proofErr w:type="spellEnd"/>
      <w:r w:rsidRPr="00346099">
        <w:t xml:space="preserve"> </w:t>
      </w:r>
      <w:proofErr w:type="spellStart"/>
      <w:r w:rsidR="00D25AFA">
        <w:t>frosset</w:t>
      </w:r>
      <w:proofErr w:type="spellEnd"/>
      <w:r w:rsidR="00D25AFA">
        <w:t xml:space="preserve"> </w:t>
      </w:r>
      <w:proofErr w:type="spellStart"/>
      <w:r w:rsidRPr="00346099">
        <w:t>plasma</w:t>
      </w:r>
      <w:proofErr w:type="spellEnd"/>
      <w:r w:rsidRPr="00346099">
        <w:t xml:space="preserve"> </w:t>
      </w:r>
      <w:proofErr w:type="spellStart"/>
      <w:r w:rsidRPr="00346099">
        <w:t>og</w:t>
      </w:r>
      <w:proofErr w:type="spellEnd"/>
      <w:r w:rsidRPr="00346099">
        <w:t>/</w:t>
      </w:r>
      <w:proofErr w:type="spellStart"/>
      <w:r w:rsidRPr="00346099">
        <w:t>eller</w:t>
      </w:r>
      <w:proofErr w:type="spellEnd"/>
      <w:r w:rsidRPr="00346099">
        <w:t xml:space="preserve"> </w:t>
      </w:r>
      <w:proofErr w:type="spellStart"/>
      <w:r w:rsidRPr="00346099">
        <w:t>trombocytkoncentrater</w:t>
      </w:r>
      <w:proofErr w:type="spellEnd"/>
      <w:r w:rsidRPr="00346099">
        <w:t xml:space="preserve"> i </w:t>
      </w:r>
      <w:proofErr w:type="spellStart"/>
      <w:r w:rsidRPr="00346099">
        <w:t>tilfælde</w:t>
      </w:r>
      <w:proofErr w:type="spellEnd"/>
      <w:r w:rsidRPr="00346099">
        <w:t xml:space="preserve">, </w:t>
      </w:r>
      <w:proofErr w:type="spellStart"/>
      <w:r w:rsidRPr="00346099">
        <w:t>hvor</w:t>
      </w:r>
      <w:proofErr w:type="spellEnd"/>
      <w:r w:rsidRPr="00346099">
        <w:t xml:space="preserve"> </w:t>
      </w:r>
      <w:proofErr w:type="spellStart"/>
      <w:r w:rsidRPr="00346099">
        <w:t>trombocytopeni</w:t>
      </w:r>
      <w:proofErr w:type="spellEnd"/>
      <w:r w:rsidRPr="00346099">
        <w:t xml:space="preserve"> er til stede, eller hvor langtidsvirkende trombocythæmmende lægemidler er blevet anvendt. Koagulationsfaktorkoncentrater (aktiverede eller ikke-aktiverede) eller rekombinante faktor VIIa kan overvejes til behandling. Data </w:t>
      </w:r>
      <w:proofErr w:type="spellStart"/>
      <w:r w:rsidRPr="00346099">
        <w:t>om</w:t>
      </w:r>
      <w:proofErr w:type="spellEnd"/>
      <w:r w:rsidRPr="00346099">
        <w:t xml:space="preserve"> </w:t>
      </w:r>
      <w:proofErr w:type="spellStart"/>
      <w:r w:rsidRPr="00346099">
        <w:t>kliniske</w:t>
      </w:r>
      <w:proofErr w:type="spellEnd"/>
      <w:r w:rsidRPr="00346099">
        <w:t xml:space="preserve"> </w:t>
      </w:r>
      <w:proofErr w:type="spellStart"/>
      <w:r w:rsidRPr="00346099">
        <w:t>fordele</w:t>
      </w:r>
      <w:proofErr w:type="spellEnd"/>
      <w:r w:rsidRPr="00346099">
        <w:t xml:space="preserve"> er </w:t>
      </w:r>
      <w:proofErr w:type="spellStart"/>
      <w:r w:rsidRPr="00346099">
        <w:t>dog</w:t>
      </w:r>
      <w:proofErr w:type="spellEnd"/>
      <w:r w:rsidRPr="00346099">
        <w:t xml:space="preserve"> </w:t>
      </w:r>
      <w:proofErr w:type="spellStart"/>
      <w:r w:rsidRPr="00346099">
        <w:t>meget</w:t>
      </w:r>
      <w:proofErr w:type="spellEnd"/>
      <w:r w:rsidRPr="00346099">
        <w:t xml:space="preserve"> </w:t>
      </w:r>
      <w:proofErr w:type="spellStart"/>
      <w:r w:rsidRPr="00346099">
        <w:t>begrænsede</w:t>
      </w:r>
      <w:proofErr w:type="spellEnd"/>
      <w:r w:rsidRPr="00346099">
        <w:t>.</w:t>
      </w:r>
    </w:p>
    <w:p w14:paraId="70F94DA1" w14:textId="0670D544" w:rsidR="003F2CEE" w:rsidRPr="00DB2CE6" w:rsidRDefault="003F2CEE" w:rsidP="003F2CEE">
      <w:pPr>
        <w:rPr>
          <w:lang w:val="da-DK"/>
        </w:rPr>
      </w:pPr>
    </w:p>
    <w:p w14:paraId="31B24D92" w14:textId="7BA0F6A3" w:rsidR="003F2CEE" w:rsidRPr="00DB2CE6" w:rsidRDefault="0055584B" w:rsidP="003F2CEE">
      <w:pPr>
        <w:rPr>
          <w:b/>
          <w:bCs/>
          <w:sz w:val="28"/>
          <w:szCs w:val="28"/>
          <w:lang w:val="da-DK"/>
        </w:rPr>
      </w:pPr>
      <w:bookmarkStart w:id="9" w:name="_Toc161922292"/>
      <w:r w:rsidRPr="00346099">
        <w:rPr>
          <w:rStyle w:val="Overskrift1Tegn"/>
        </w:rPr>
        <w:t>Patientkort og patientrådgivning</w:t>
      </w:r>
      <w:bookmarkEnd w:id="9"/>
    </w:p>
    <w:p w14:paraId="1701A409" w14:textId="4FD041F0" w:rsidR="003F2CEE" w:rsidRPr="00DB2CE6" w:rsidRDefault="003F2CEE" w:rsidP="003F2CEE">
      <w:pPr>
        <w:rPr>
          <w:lang w:val="da-DK"/>
        </w:rPr>
      </w:pPr>
      <w:r w:rsidRPr="00346099">
        <w:lastRenderedPageBreak/>
        <w:t xml:space="preserve">Patienten får udleveret et patientkort til sikker brug sammen med hver pakning med Dabigatranetexilat. Patienterne skal informeres om, at de altid skal have patientkortet på sig og vise det til sundhedspersonalet før hver behandling. </w:t>
      </w:r>
      <w:proofErr w:type="spellStart"/>
      <w:r w:rsidRPr="00346099">
        <w:t>Patienterne</w:t>
      </w:r>
      <w:proofErr w:type="spellEnd"/>
      <w:r w:rsidRPr="00346099">
        <w:t xml:space="preserve"> </w:t>
      </w:r>
      <w:proofErr w:type="spellStart"/>
      <w:r w:rsidRPr="00346099">
        <w:t>bør</w:t>
      </w:r>
      <w:proofErr w:type="spellEnd"/>
      <w:r w:rsidRPr="00346099">
        <w:t xml:space="preserve"> </w:t>
      </w:r>
      <w:proofErr w:type="spellStart"/>
      <w:r w:rsidRPr="00346099">
        <w:t>informeres</w:t>
      </w:r>
      <w:proofErr w:type="spellEnd"/>
      <w:r w:rsidRPr="00346099">
        <w:t xml:space="preserve"> </w:t>
      </w:r>
      <w:proofErr w:type="spellStart"/>
      <w:r w:rsidRPr="00346099">
        <w:t>om</w:t>
      </w:r>
      <w:proofErr w:type="spellEnd"/>
      <w:r w:rsidRPr="00346099">
        <w:t xml:space="preserve"> </w:t>
      </w:r>
      <w:proofErr w:type="spellStart"/>
      <w:r w:rsidRPr="00346099">
        <w:t>tegn</w:t>
      </w:r>
      <w:proofErr w:type="spellEnd"/>
      <w:r w:rsidRPr="00346099">
        <w:t xml:space="preserve"> </w:t>
      </w:r>
      <w:proofErr w:type="spellStart"/>
      <w:r w:rsidRPr="00346099">
        <w:t>og</w:t>
      </w:r>
      <w:proofErr w:type="spellEnd"/>
      <w:r w:rsidRPr="00346099">
        <w:t xml:space="preserve"> </w:t>
      </w:r>
      <w:proofErr w:type="spellStart"/>
      <w:r w:rsidRPr="00346099">
        <w:t>symptomer</w:t>
      </w:r>
      <w:proofErr w:type="spellEnd"/>
      <w:r w:rsidRPr="00346099">
        <w:t xml:space="preserve"> </w:t>
      </w:r>
      <w:proofErr w:type="spellStart"/>
      <w:r w:rsidRPr="00346099">
        <w:t>på</w:t>
      </w:r>
      <w:proofErr w:type="spellEnd"/>
      <w:r w:rsidRPr="00346099">
        <w:t xml:space="preserve"> </w:t>
      </w:r>
      <w:proofErr w:type="spellStart"/>
      <w:r w:rsidRPr="00346099">
        <w:t>blødning</w:t>
      </w:r>
      <w:proofErr w:type="spellEnd"/>
      <w:r w:rsidRPr="00346099">
        <w:t xml:space="preserve"> </w:t>
      </w:r>
      <w:proofErr w:type="spellStart"/>
      <w:r w:rsidRPr="00346099">
        <w:t>og</w:t>
      </w:r>
      <w:proofErr w:type="spellEnd"/>
      <w:r w:rsidRPr="00346099">
        <w:t xml:space="preserve"> </w:t>
      </w:r>
      <w:proofErr w:type="spellStart"/>
      <w:r w:rsidRPr="00346099">
        <w:t>om</w:t>
      </w:r>
      <w:proofErr w:type="spellEnd"/>
      <w:r w:rsidRPr="00346099">
        <w:t xml:space="preserve"> </w:t>
      </w:r>
      <w:proofErr w:type="spellStart"/>
      <w:r w:rsidRPr="00346099">
        <w:t>omstændigheder</w:t>
      </w:r>
      <w:proofErr w:type="spellEnd"/>
      <w:r w:rsidRPr="00346099">
        <w:t xml:space="preserve">, </w:t>
      </w:r>
      <w:proofErr w:type="spellStart"/>
      <w:r w:rsidRPr="00346099">
        <w:t>hvor</w:t>
      </w:r>
      <w:proofErr w:type="spellEnd"/>
      <w:r w:rsidRPr="00346099">
        <w:t xml:space="preserve"> de </w:t>
      </w:r>
      <w:proofErr w:type="spellStart"/>
      <w:r w:rsidRPr="00346099">
        <w:t>skal</w:t>
      </w:r>
      <w:proofErr w:type="spellEnd"/>
      <w:r w:rsidRPr="00346099">
        <w:t xml:space="preserve"> </w:t>
      </w:r>
      <w:proofErr w:type="spellStart"/>
      <w:r w:rsidRPr="00346099">
        <w:t>søge</w:t>
      </w:r>
      <w:proofErr w:type="spellEnd"/>
      <w:r w:rsidRPr="00346099">
        <w:t xml:space="preserve"> </w:t>
      </w:r>
      <w:proofErr w:type="spellStart"/>
      <w:r w:rsidRPr="00346099">
        <w:t>lægehjælp</w:t>
      </w:r>
      <w:proofErr w:type="spellEnd"/>
      <w:r w:rsidRPr="00346099">
        <w:t>.</w:t>
      </w:r>
    </w:p>
    <w:p w14:paraId="34FEBDF8" w14:textId="3CDA31D2" w:rsidR="003F2CEE" w:rsidRPr="00DB2CE6" w:rsidRDefault="003F2CEE" w:rsidP="003F2CEE">
      <w:pPr>
        <w:rPr>
          <w:lang w:val="da-DK"/>
        </w:rPr>
      </w:pPr>
    </w:p>
    <w:p w14:paraId="19B6164A" w14:textId="4DFB2E83" w:rsidR="00C34EEE" w:rsidRPr="00DB2CE6" w:rsidRDefault="00C34EEE" w:rsidP="008B611E">
      <w:pPr>
        <w:pStyle w:val="Overskrift1"/>
        <w:rPr>
          <w:lang w:val="da-DK"/>
        </w:rPr>
      </w:pPr>
      <w:bookmarkStart w:id="10" w:name="_Toc161922293"/>
      <w:bookmarkStart w:id="11" w:name="_Hlk137056239"/>
      <w:r w:rsidRPr="00346099">
        <w:t>Indberetning af bivirkninger</w:t>
      </w:r>
      <w:bookmarkEnd w:id="10"/>
    </w:p>
    <w:p w14:paraId="7759BFE6" w14:textId="6359B81F" w:rsidR="00C34EEE" w:rsidRPr="00DB2CE6" w:rsidRDefault="00C34EEE" w:rsidP="00C34EEE">
      <w:pPr>
        <w:rPr>
          <w:lang w:val="da-DK"/>
        </w:rPr>
      </w:pPr>
      <w:r w:rsidRPr="00346099">
        <w:t xml:space="preserve">Indberetning af formodede bivirkninger efter godkendelse er af stor betydning. Det muliggør løbende overvågning af forholdet mellem fordele og risici ved lægemidlet. </w:t>
      </w:r>
      <w:proofErr w:type="spellStart"/>
      <w:r w:rsidRPr="00346099">
        <w:t>Sundhedspersonale</w:t>
      </w:r>
      <w:proofErr w:type="spellEnd"/>
      <w:r w:rsidRPr="00346099">
        <w:t xml:space="preserve"> </w:t>
      </w:r>
      <w:proofErr w:type="spellStart"/>
      <w:r w:rsidRPr="00346099">
        <w:t>anmodes</w:t>
      </w:r>
      <w:proofErr w:type="spellEnd"/>
      <w:r w:rsidRPr="00346099">
        <w:t xml:space="preserve"> </w:t>
      </w:r>
      <w:proofErr w:type="spellStart"/>
      <w:r w:rsidRPr="00346099">
        <w:t>om</w:t>
      </w:r>
      <w:proofErr w:type="spellEnd"/>
      <w:r w:rsidRPr="00346099">
        <w:t xml:space="preserve"> at </w:t>
      </w:r>
      <w:proofErr w:type="spellStart"/>
      <w:r w:rsidRPr="00346099">
        <w:t>indberette</w:t>
      </w:r>
      <w:proofErr w:type="spellEnd"/>
      <w:r w:rsidRPr="00346099">
        <w:t xml:space="preserve"> </w:t>
      </w:r>
      <w:proofErr w:type="spellStart"/>
      <w:r w:rsidRPr="00346099">
        <w:t>ethvert</w:t>
      </w:r>
      <w:proofErr w:type="spellEnd"/>
      <w:r w:rsidRPr="00346099">
        <w:t xml:space="preserve"> </w:t>
      </w:r>
      <w:proofErr w:type="spellStart"/>
      <w:r w:rsidRPr="00346099">
        <w:t>formodet</w:t>
      </w:r>
      <w:proofErr w:type="spellEnd"/>
      <w:r w:rsidRPr="00346099">
        <w:t xml:space="preserve"> </w:t>
      </w:r>
      <w:proofErr w:type="spellStart"/>
      <w:r w:rsidRPr="00346099">
        <w:t>tilfælde</w:t>
      </w:r>
      <w:proofErr w:type="spellEnd"/>
      <w:r w:rsidRPr="00346099">
        <w:t xml:space="preserve"> </w:t>
      </w:r>
      <w:proofErr w:type="spellStart"/>
      <w:r w:rsidRPr="00346099">
        <w:t>af</w:t>
      </w:r>
      <w:proofErr w:type="spellEnd"/>
      <w:r w:rsidRPr="00346099">
        <w:t xml:space="preserve"> en </w:t>
      </w:r>
      <w:proofErr w:type="spellStart"/>
      <w:r w:rsidRPr="00346099">
        <w:t>bivirkning</w:t>
      </w:r>
      <w:proofErr w:type="spellEnd"/>
      <w:r w:rsidRPr="00346099">
        <w:t xml:space="preserve"> </w:t>
      </w:r>
      <w:proofErr w:type="spellStart"/>
      <w:r w:rsidR="00F2439B" w:rsidRPr="00F2439B">
        <w:t>på</w:t>
      </w:r>
      <w:proofErr w:type="spellEnd"/>
      <w:r w:rsidR="00F2439B" w:rsidRPr="00F2439B">
        <w:t xml:space="preserve"> </w:t>
      </w:r>
      <w:proofErr w:type="spellStart"/>
      <w:r w:rsidR="00F2439B" w:rsidRPr="00F2439B">
        <w:t>lægemiddelstyrelsens</w:t>
      </w:r>
      <w:proofErr w:type="spellEnd"/>
      <w:r w:rsidR="00F2439B" w:rsidRPr="00F2439B">
        <w:t xml:space="preserve"> </w:t>
      </w:r>
      <w:proofErr w:type="spellStart"/>
      <w:r w:rsidR="00F2439B" w:rsidRPr="00F2439B">
        <w:t>hjemmeside</w:t>
      </w:r>
      <w:proofErr w:type="spellEnd"/>
      <w:r w:rsidR="00F2439B" w:rsidRPr="00F2439B">
        <w:t xml:space="preserve"> https://blanket.meldenbivirkning.dk/</w:t>
      </w:r>
      <w:bookmarkEnd w:id="11"/>
    </w:p>
    <w:p w14:paraId="6C9F1A2B" w14:textId="77777777" w:rsidR="00C34EEE" w:rsidRPr="00DB2CE6" w:rsidRDefault="00C34EEE" w:rsidP="003F2CEE">
      <w:pPr>
        <w:rPr>
          <w:lang w:val="da-DK"/>
        </w:rPr>
      </w:pPr>
    </w:p>
    <w:p w14:paraId="22784C48" w14:textId="77777777" w:rsidR="00C34EEE" w:rsidRPr="00DB2CE6" w:rsidRDefault="00C34EEE">
      <w:pPr>
        <w:rPr>
          <w:b/>
          <w:bCs/>
          <w:sz w:val="28"/>
          <w:szCs w:val="28"/>
          <w:lang w:val="da-DK"/>
        </w:rPr>
      </w:pPr>
      <w:r w:rsidRPr="00346099">
        <w:rPr>
          <w:b/>
          <w:bCs/>
          <w:sz w:val="28"/>
          <w:szCs w:val="28"/>
        </w:rPr>
        <w:br w:type="page"/>
      </w:r>
    </w:p>
    <w:p w14:paraId="487CA120" w14:textId="3BE62C65" w:rsidR="0076189B" w:rsidRPr="00DB2CE6" w:rsidRDefault="00814D2A" w:rsidP="008B611E">
      <w:pPr>
        <w:pStyle w:val="Overskrift1"/>
        <w:rPr>
          <w:lang w:val="da-DK"/>
        </w:rPr>
      </w:pPr>
      <w:bookmarkStart w:id="12" w:name="_Toc161922294"/>
      <w:proofErr w:type="spellStart"/>
      <w:r>
        <w:lastRenderedPageBreak/>
        <w:t>Referencer</w:t>
      </w:r>
      <w:bookmarkEnd w:id="12"/>
      <w:proofErr w:type="spellEnd"/>
    </w:p>
    <w:p w14:paraId="17341733" w14:textId="530F18DA" w:rsidR="003F2CEE" w:rsidRPr="00DB2CE6" w:rsidRDefault="003F2CEE" w:rsidP="003F2CEE">
      <w:pPr>
        <w:rPr>
          <w:lang w:val="da-DK"/>
        </w:rPr>
      </w:pPr>
      <w:r w:rsidRPr="00346099">
        <w:t xml:space="preserve">1. </w:t>
      </w:r>
      <w:proofErr w:type="spellStart"/>
      <w:r w:rsidRPr="00346099">
        <w:t>Dabigatranetexilat</w:t>
      </w:r>
      <w:proofErr w:type="spellEnd"/>
      <w:r w:rsidRPr="00346099">
        <w:t xml:space="preserve"> </w:t>
      </w:r>
      <w:proofErr w:type="spellStart"/>
      <w:r w:rsidRPr="00346099">
        <w:t>produktresumé</w:t>
      </w:r>
      <w:proofErr w:type="spellEnd"/>
    </w:p>
    <w:p w14:paraId="446AC669" w14:textId="171A9EF3" w:rsidR="003F2CEE" w:rsidRPr="003F2CEE" w:rsidRDefault="003F2CEE" w:rsidP="003F2CEE">
      <w:pPr>
        <w:rPr>
          <w:lang w:val="en-US"/>
        </w:rPr>
      </w:pPr>
      <w:r w:rsidRPr="00346099">
        <w:t xml:space="preserve">2. van Ryn J et al. </w:t>
      </w:r>
      <w:proofErr w:type="spellStart"/>
      <w:r w:rsidRPr="00346099">
        <w:t>Tromb</w:t>
      </w:r>
      <w:proofErr w:type="spellEnd"/>
      <w:r w:rsidRPr="00346099">
        <w:t xml:space="preserve"> </w:t>
      </w:r>
      <w:proofErr w:type="spellStart"/>
      <w:r w:rsidRPr="00346099">
        <w:t>Haemost</w:t>
      </w:r>
      <w:proofErr w:type="spellEnd"/>
      <w:r w:rsidRPr="00346099">
        <w:t xml:space="preserve"> 2010; 103: 1116–1127</w:t>
      </w:r>
    </w:p>
    <w:p w14:paraId="4F4A7D8A" w14:textId="7428DCC9" w:rsidR="003F2CEE" w:rsidRPr="003F2CEE" w:rsidRDefault="003F2CEE" w:rsidP="003F2CEE">
      <w:pPr>
        <w:rPr>
          <w:lang w:val="en-US"/>
        </w:rPr>
      </w:pPr>
      <w:r w:rsidRPr="00346099">
        <w:t xml:space="preserve">3. Liesenfeld KH et al. Br J </w:t>
      </w:r>
      <w:proofErr w:type="spellStart"/>
      <w:r w:rsidRPr="00346099">
        <w:t>Clin</w:t>
      </w:r>
      <w:proofErr w:type="spellEnd"/>
      <w:r w:rsidRPr="00346099">
        <w:t xml:space="preserve"> </w:t>
      </w:r>
      <w:proofErr w:type="spellStart"/>
      <w:r w:rsidRPr="00346099">
        <w:t>Pharmacol</w:t>
      </w:r>
      <w:proofErr w:type="spellEnd"/>
      <w:r w:rsidRPr="00346099">
        <w:t xml:space="preserve"> 2006; 62: 527–537</w:t>
      </w:r>
    </w:p>
    <w:p w14:paraId="77BEF756" w14:textId="5EC9CA45" w:rsidR="003F2CEE" w:rsidRPr="0074473A" w:rsidRDefault="003F2CEE" w:rsidP="003F2CEE">
      <w:pPr>
        <w:rPr>
          <w:lang w:val="da-DK"/>
        </w:rPr>
      </w:pPr>
      <w:r w:rsidRPr="00346099">
        <w:t xml:space="preserve">4. Stangier J et al. Br J </w:t>
      </w:r>
      <w:proofErr w:type="spellStart"/>
      <w:r w:rsidRPr="00346099">
        <w:t>Clin</w:t>
      </w:r>
      <w:proofErr w:type="spellEnd"/>
      <w:r w:rsidRPr="00346099">
        <w:t xml:space="preserve"> </w:t>
      </w:r>
      <w:proofErr w:type="spellStart"/>
      <w:r w:rsidRPr="00346099">
        <w:t>Pharmacol</w:t>
      </w:r>
      <w:proofErr w:type="spellEnd"/>
      <w:r w:rsidRPr="00346099">
        <w:t xml:space="preserve"> 2007; 64: 292–303</w:t>
      </w:r>
    </w:p>
    <w:p w14:paraId="7423A722" w14:textId="5826120A" w:rsidR="003F2CEE" w:rsidRPr="00C24612" w:rsidRDefault="003F2CEE" w:rsidP="003F2CEE">
      <w:pPr>
        <w:rPr>
          <w:lang w:val="en-US"/>
        </w:rPr>
      </w:pPr>
      <w:r w:rsidRPr="00346099">
        <w:t>5. Hæmoclottrombinhæmmeranalyse (Hyphen BioMed, Neuville-sur-Oise, Frankrig). www.clottingtesting.com/ www.coachrom.com</w:t>
      </w:r>
    </w:p>
    <w:p w14:paraId="16CFBE29" w14:textId="478EEFFC" w:rsidR="003F2CEE" w:rsidRPr="003F2CEE" w:rsidRDefault="003F2CEE" w:rsidP="003F2CEE">
      <w:pPr>
        <w:rPr>
          <w:lang w:val="en-US"/>
        </w:rPr>
      </w:pPr>
      <w:r w:rsidRPr="00346099">
        <w:t xml:space="preserve">6. </w:t>
      </w:r>
      <w:proofErr w:type="spellStart"/>
      <w:r w:rsidRPr="00346099">
        <w:t>HemosIL</w:t>
      </w:r>
      <w:proofErr w:type="spellEnd"/>
      <w:r w:rsidRPr="00346099">
        <w:t xml:space="preserve"> </w:t>
      </w:r>
      <w:proofErr w:type="spellStart"/>
      <w:r w:rsidRPr="00346099">
        <w:t>assay</w:t>
      </w:r>
      <w:proofErr w:type="spellEnd"/>
      <w:r w:rsidRPr="00346099">
        <w:t xml:space="preserve"> (</w:t>
      </w:r>
      <w:proofErr w:type="spellStart"/>
      <w:r w:rsidRPr="00346099">
        <w:t>Instumentation</w:t>
      </w:r>
      <w:proofErr w:type="spellEnd"/>
      <w:r w:rsidRPr="00346099">
        <w:t xml:space="preserve"> Laboratory, Werfen Group, Barcelona, Spanien). www.instrumentationlaboratory.com</w:t>
      </w:r>
    </w:p>
    <w:p w14:paraId="3ABEF9A5" w14:textId="51997508" w:rsidR="003F2CEE" w:rsidRPr="003F2CEE" w:rsidRDefault="003F2CEE" w:rsidP="003F2CEE">
      <w:pPr>
        <w:rPr>
          <w:lang w:val="en-US"/>
        </w:rPr>
      </w:pPr>
      <w:r w:rsidRPr="00346099">
        <w:t xml:space="preserve">7. Technoclot DTI Dabigatran-analyse (Technoclone GmbH, Wien, Østrig). http://www.technoclone.com/products/ </w:t>
      </w:r>
      <w:proofErr w:type="spellStart"/>
      <w:r w:rsidRPr="00346099">
        <w:t>koagulation</w:t>
      </w:r>
      <w:proofErr w:type="spellEnd"/>
      <w:r w:rsidRPr="00346099">
        <w:t>/</w:t>
      </w:r>
      <w:proofErr w:type="spellStart"/>
      <w:r w:rsidRPr="00346099">
        <w:t>kontrol</w:t>
      </w:r>
      <w:proofErr w:type="spellEnd"/>
      <w:r w:rsidRPr="00346099">
        <w:t>-plasma/</w:t>
      </w:r>
      <w:proofErr w:type="spellStart"/>
      <w:r w:rsidRPr="00346099">
        <w:t>dabigatran-cont</w:t>
      </w:r>
      <w:proofErr w:type="spellEnd"/>
    </w:p>
    <w:p w14:paraId="4B7C051C" w14:textId="072B8F9F" w:rsidR="003F2CEE" w:rsidRPr="003F2CEE" w:rsidRDefault="003F2CEE" w:rsidP="003F2CEE">
      <w:pPr>
        <w:rPr>
          <w:lang w:val="en-US"/>
        </w:rPr>
      </w:pPr>
      <w:r w:rsidRPr="00346099">
        <w:t xml:space="preserve">8. INNOVANCE DTI Assay (Siemens Healthineers GmbH, Erlangen, Tyskland). https://www.healthcare.siemens.com/ </w:t>
      </w:r>
      <w:proofErr w:type="spellStart"/>
      <w:r w:rsidRPr="00346099">
        <w:t>hæmostase</w:t>
      </w:r>
      <w:proofErr w:type="spellEnd"/>
    </w:p>
    <w:p w14:paraId="2CF7E420" w14:textId="1908A35B" w:rsidR="003F2CEE" w:rsidRPr="0074473A" w:rsidRDefault="003F2CEE" w:rsidP="003F2CEE">
      <w:pPr>
        <w:rPr>
          <w:lang w:val="da-DK"/>
        </w:rPr>
      </w:pPr>
      <w:r w:rsidRPr="00346099">
        <w:t>9. Pollack C et al. NEJM 2015; 373: 511–20</w:t>
      </w:r>
    </w:p>
    <w:p w14:paraId="787AEFC2" w14:textId="6DCEA3CC" w:rsidR="003F2CEE" w:rsidRPr="0074473A" w:rsidRDefault="003F2CEE" w:rsidP="003F2CEE">
      <w:pPr>
        <w:rPr>
          <w:lang w:val="da-DK"/>
        </w:rPr>
      </w:pPr>
    </w:p>
    <w:p w14:paraId="2B6EA9A8" w14:textId="4F6F5A7C" w:rsidR="000C245B" w:rsidRPr="0074473A" w:rsidRDefault="000C245B" w:rsidP="003F2CEE">
      <w:pPr>
        <w:rPr>
          <w:lang w:val="da-DK"/>
        </w:rPr>
      </w:pPr>
    </w:p>
    <w:p w14:paraId="7DEF39AF" w14:textId="585E26B6" w:rsidR="000C245B" w:rsidRPr="00DB2CE6" w:rsidRDefault="000C245B" w:rsidP="003F2CEE">
      <w:pPr>
        <w:rPr>
          <w:rFonts w:cstheme="minorHAnsi"/>
          <w:b/>
          <w:bCs/>
          <w:spacing w:val="-2"/>
          <w:w w:val="95"/>
          <w:sz w:val="28"/>
          <w:szCs w:val="28"/>
          <w:lang w:val="da-DK"/>
        </w:rPr>
      </w:pPr>
      <w:r w:rsidRPr="00346099">
        <w:rPr>
          <w:rFonts w:cstheme="minorHAnsi"/>
          <w:b/>
          <w:bCs/>
          <w:spacing w:val="-2"/>
          <w:w w:val="95"/>
          <w:sz w:val="28"/>
          <w:szCs w:val="28"/>
        </w:rPr>
        <w:t>Noter</w:t>
      </w:r>
    </w:p>
    <w:p w14:paraId="2392424C" w14:textId="77777777" w:rsidR="000C245B" w:rsidRPr="00DB2CE6" w:rsidRDefault="000C245B" w:rsidP="003F2CEE">
      <w:pPr>
        <w:rPr>
          <w:lang w:val="da-DK"/>
        </w:rPr>
      </w:pPr>
    </w:p>
    <w:p w14:paraId="4F44DFFD" w14:textId="2F0002CA" w:rsidR="000C245B" w:rsidRPr="00DB2CE6" w:rsidRDefault="000C245B" w:rsidP="003F2CEE">
      <w:pPr>
        <w:rPr>
          <w:lang w:val="da-DK"/>
        </w:rPr>
      </w:pPr>
    </w:p>
    <w:p w14:paraId="2E77BDB9" w14:textId="42B640D7" w:rsidR="000C245B" w:rsidRPr="00DB2CE6" w:rsidRDefault="000C245B" w:rsidP="003F2CEE">
      <w:pPr>
        <w:rPr>
          <w:lang w:val="da-DK"/>
        </w:rPr>
      </w:pPr>
    </w:p>
    <w:p w14:paraId="64E261C1" w14:textId="5BCD074C" w:rsidR="000C245B" w:rsidRPr="00DB2CE6" w:rsidRDefault="000C245B" w:rsidP="003F2CEE">
      <w:pPr>
        <w:rPr>
          <w:lang w:val="da-DK"/>
        </w:rPr>
      </w:pPr>
    </w:p>
    <w:p w14:paraId="639DD4CF" w14:textId="38FA001C" w:rsidR="000C245B" w:rsidRPr="00DB2CE6" w:rsidRDefault="000C245B" w:rsidP="003F2CEE">
      <w:pPr>
        <w:rPr>
          <w:lang w:val="da-DK"/>
        </w:rPr>
      </w:pPr>
    </w:p>
    <w:p w14:paraId="420600F9" w14:textId="1BA50D67" w:rsidR="000C245B" w:rsidRPr="00DB2CE6" w:rsidRDefault="00F824DA" w:rsidP="000C245B">
      <w:pPr>
        <w:pStyle w:val="Brdtekst"/>
        <w:spacing w:before="95"/>
        <w:ind w:left="108"/>
        <w:rPr>
          <w:rFonts w:asciiTheme="minorHAnsi" w:hAnsiTheme="minorHAnsi" w:cstheme="minorHAnsi"/>
          <w:lang w:val="da-DK"/>
        </w:rPr>
      </w:pPr>
      <w:r w:rsidRPr="00346099">
        <w:rPr>
          <w:rFonts w:asciiTheme="minorHAnsi" w:hAnsiTheme="minorHAnsi" w:cstheme="minorHAnsi"/>
          <w:spacing w:val="-7"/>
        </w:rPr>
        <w:t>Kontakt lægemiddelvirksomheden for yderligere oplysninger (se produktresuméet og indlægssedlen for kontaktoplysninger).</w:t>
      </w:r>
    </w:p>
    <w:p w14:paraId="59CC6AF4" w14:textId="77777777" w:rsidR="000C245B" w:rsidRPr="00DB2CE6" w:rsidRDefault="000C245B" w:rsidP="000C245B">
      <w:pPr>
        <w:spacing w:before="210"/>
        <w:ind w:left="108"/>
        <w:rPr>
          <w:rFonts w:cstheme="minorHAnsi"/>
          <w:spacing w:val="-4"/>
          <w:sz w:val="18"/>
          <w:lang w:val="da-DK"/>
        </w:rPr>
      </w:pPr>
    </w:p>
    <w:p w14:paraId="570DF422" w14:textId="77777777" w:rsidR="000C245B" w:rsidRPr="00DB2CE6" w:rsidRDefault="000C245B" w:rsidP="000C245B">
      <w:pPr>
        <w:spacing w:before="210"/>
        <w:ind w:left="108"/>
        <w:rPr>
          <w:rFonts w:cstheme="minorHAnsi"/>
          <w:spacing w:val="-4"/>
          <w:sz w:val="18"/>
          <w:lang w:val="da-DK"/>
        </w:rPr>
      </w:pPr>
    </w:p>
    <w:p w14:paraId="7B601A7C" w14:textId="25FFE8DC" w:rsidR="000C245B" w:rsidRPr="0022558B" w:rsidRDefault="000C245B" w:rsidP="000C245B">
      <w:pPr>
        <w:spacing w:before="210"/>
        <w:ind w:left="108"/>
        <w:rPr>
          <w:rFonts w:cstheme="minorHAnsi"/>
          <w:sz w:val="18"/>
        </w:rPr>
      </w:pPr>
      <w:proofErr w:type="spellStart"/>
      <w:r w:rsidRPr="0022558B">
        <w:rPr>
          <w:rFonts w:cstheme="minorHAnsi"/>
          <w:spacing w:val="-4"/>
          <w:sz w:val="18"/>
        </w:rPr>
        <w:t>Senest</w:t>
      </w:r>
      <w:proofErr w:type="spellEnd"/>
      <w:r w:rsidRPr="0022558B">
        <w:rPr>
          <w:rFonts w:cstheme="minorHAnsi"/>
          <w:spacing w:val="-4"/>
          <w:sz w:val="18"/>
        </w:rPr>
        <w:t xml:space="preserve"> </w:t>
      </w:r>
      <w:proofErr w:type="spellStart"/>
      <w:r w:rsidRPr="0022558B">
        <w:rPr>
          <w:rFonts w:cstheme="minorHAnsi"/>
          <w:spacing w:val="-4"/>
          <w:sz w:val="18"/>
        </w:rPr>
        <w:t>opdateret</w:t>
      </w:r>
      <w:proofErr w:type="spellEnd"/>
      <w:r w:rsidRPr="0022558B">
        <w:rPr>
          <w:rFonts w:cstheme="minorHAnsi"/>
          <w:spacing w:val="-4"/>
          <w:sz w:val="18"/>
        </w:rPr>
        <w:t xml:space="preserve">: </w:t>
      </w:r>
      <w:proofErr w:type="spellStart"/>
      <w:r w:rsidRPr="0022558B">
        <w:rPr>
          <w:rFonts w:cstheme="minorHAnsi"/>
          <w:spacing w:val="-4"/>
          <w:sz w:val="18"/>
        </w:rPr>
        <w:t>juli</w:t>
      </w:r>
      <w:proofErr w:type="spellEnd"/>
      <w:r w:rsidRPr="0022558B">
        <w:rPr>
          <w:rFonts w:cstheme="minorHAnsi"/>
          <w:spacing w:val="-4"/>
          <w:sz w:val="18"/>
        </w:rPr>
        <w:t xml:space="preserve"> 2023</w:t>
      </w:r>
    </w:p>
    <w:p w14:paraId="69E31620" w14:textId="47D4AF4D" w:rsidR="000C245B" w:rsidRPr="000C245B" w:rsidRDefault="000C245B" w:rsidP="003F2CEE"/>
    <w:p w14:paraId="45560978" w14:textId="57606E60" w:rsidR="000C245B" w:rsidRPr="000C245B" w:rsidRDefault="000C245B" w:rsidP="003F2CEE"/>
    <w:sectPr w:rsidR="000C245B" w:rsidRPr="000C245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8F335" w14:textId="77777777" w:rsidR="00FC7A86" w:rsidRDefault="00FC7A86" w:rsidP="003F3FA9">
      <w:pPr>
        <w:spacing w:after="0" w:line="240" w:lineRule="auto"/>
      </w:pPr>
      <w:r>
        <w:separator/>
      </w:r>
    </w:p>
  </w:endnote>
  <w:endnote w:type="continuationSeparator" w:id="0">
    <w:p w14:paraId="3FD3D53D" w14:textId="77777777" w:rsidR="00FC7A86" w:rsidRDefault="00FC7A86" w:rsidP="003F3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3AC71" w14:textId="77777777" w:rsidR="00FC7A86" w:rsidRDefault="00FC7A86" w:rsidP="003F3FA9">
      <w:pPr>
        <w:spacing w:after="0" w:line="240" w:lineRule="auto"/>
      </w:pPr>
      <w:r>
        <w:separator/>
      </w:r>
    </w:p>
  </w:footnote>
  <w:footnote w:type="continuationSeparator" w:id="0">
    <w:p w14:paraId="3DBD0574" w14:textId="77777777" w:rsidR="00FC7A86" w:rsidRDefault="00FC7A86" w:rsidP="003F3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FA3C74"/>
    <w:multiLevelType w:val="hybridMultilevel"/>
    <w:tmpl w:val="FB00DD78"/>
    <w:lvl w:ilvl="0" w:tplc="EBFCB13C">
      <w:numFmt w:val="bullet"/>
      <w:lvlText w:val="•"/>
      <w:lvlJc w:val="left"/>
      <w:pPr>
        <w:ind w:left="278" w:hanging="171"/>
      </w:pPr>
      <w:rPr>
        <w:rFonts w:ascii="Trebuchet MS" w:eastAsia="Trebuchet MS" w:hAnsi="Trebuchet MS" w:cs="Trebuchet MS" w:hint="default"/>
        <w:w w:val="127"/>
        <w:lang w:val="de-DE" w:eastAsia="en-US" w:bidi="ar-SA"/>
      </w:rPr>
    </w:lvl>
    <w:lvl w:ilvl="1" w:tplc="CAB648FC">
      <w:numFmt w:val="bullet"/>
      <w:lvlText w:val="•"/>
      <w:lvlJc w:val="left"/>
      <w:pPr>
        <w:ind w:left="712" w:hanging="199"/>
      </w:pPr>
      <w:rPr>
        <w:rFonts w:ascii="Trebuchet MS" w:eastAsia="Trebuchet MS" w:hAnsi="Trebuchet MS" w:cs="Trebuchet MS" w:hint="default"/>
        <w:b w:val="0"/>
        <w:bCs w:val="0"/>
        <w:i w:val="0"/>
        <w:iCs w:val="0"/>
        <w:color w:val="0252A0"/>
        <w:w w:val="127"/>
        <w:sz w:val="24"/>
        <w:szCs w:val="24"/>
        <w:lang w:val="de-DE" w:eastAsia="en-US" w:bidi="ar-SA"/>
      </w:rPr>
    </w:lvl>
    <w:lvl w:ilvl="2" w:tplc="6EECDA30">
      <w:numFmt w:val="bullet"/>
      <w:lvlText w:val="•"/>
      <w:lvlJc w:val="left"/>
      <w:pPr>
        <w:ind w:left="1407" w:hanging="199"/>
      </w:pPr>
      <w:rPr>
        <w:rFonts w:hint="default"/>
        <w:lang w:val="de-DE" w:eastAsia="en-US" w:bidi="ar-SA"/>
      </w:rPr>
    </w:lvl>
    <w:lvl w:ilvl="3" w:tplc="1EB08612">
      <w:numFmt w:val="bullet"/>
      <w:lvlText w:val="•"/>
      <w:lvlJc w:val="left"/>
      <w:pPr>
        <w:ind w:left="2095" w:hanging="199"/>
      </w:pPr>
      <w:rPr>
        <w:rFonts w:hint="default"/>
        <w:lang w:val="de-DE" w:eastAsia="en-US" w:bidi="ar-SA"/>
      </w:rPr>
    </w:lvl>
    <w:lvl w:ilvl="4" w:tplc="D01E9C98">
      <w:numFmt w:val="bullet"/>
      <w:lvlText w:val="•"/>
      <w:lvlJc w:val="left"/>
      <w:pPr>
        <w:ind w:left="2783" w:hanging="199"/>
      </w:pPr>
      <w:rPr>
        <w:rFonts w:hint="default"/>
        <w:lang w:val="de-DE" w:eastAsia="en-US" w:bidi="ar-SA"/>
      </w:rPr>
    </w:lvl>
    <w:lvl w:ilvl="5" w:tplc="FF38B5F6">
      <w:numFmt w:val="bullet"/>
      <w:lvlText w:val="•"/>
      <w:lvlJc w:val="left"/>
      <w:pPr>
        <w:ind w:left="3471" w:hanging="199"/>
      </w:pPr>
      <w:rPr>
        <w:rFonts w:hint="default"/>
        <w:lang w:val="de-DE" w:eastAsia="en-US" w:bidi="ar-SA"/>
      </w:rPr>
    </w:lvl>
    <w:lvl w:ilvl="6" w:tplc="1DFC9640">
      <w:numFmt w:val="bullet"/>
      <w:lvlText w:val="•"/>
      <w:lvlJc w:val="left"/>
      <w:pPr>
        <w:ind w:left="4159" w:hanging="199"/>
      </w:pPr>
      <w:rPr>
        <w:rFonts w:hint="default"/>
        <w:lang w:val="de-DE" w:eastAsia="en-US" w:bidi="ar-SA"/>
      </w:rPr>
    </w:lvl>
    <w:lvl w:ilvl="7" w:tplc="C2B64546">
      <w:numFmt w:val="bullet"/>
      <w:lvlText w:val="•"/>
      <w:lvlJc w:val="left"/>
      <w:pPr>
        <w:ind w:left="4847" w:hanging="199"/>
      </w:pPr>
      <w:rPr>
        <w:rFonts w:hint="default"/>
        <w:lang w:val="de-DE" w:eastAsia="en-US" w:bidi="ar-SA"/>
      </w:rPr>
    </w:lvl>
    <w:lvl w:ilvl="8" w:tplc="040ED376">
      <w:numFmt w:val="bullet"/>
      <w:lvlText w:val="•"/>
      <w:lvlJc w:val="left"/>
      <w:pPr>
        <w:ind w:left="5534" w:hanging="199"/>
      </w:pPr>
      <w:rPr>
        <w:rFonts w:hint="default"/>
        <w:lang w:val="de-DE" w:eastAsia="en-US" w:bidi="ar-SA"/>
      </w:rPr>
    </w:lvl>
  </w:abstractNum>
  <w:abstractNum w:abstractNumId="1" w15:restartNumberingAfterBreak="0">
    <w:nsid w:val="6FC828F2"/>
    <w:multiLevelType w:val="hybridMultilevel"/>
    <w:tmpl w:val="F990C9C8"/>
    <w:lvl w:ilvl="0" w:tplc="72628770">
      <w:numFmt w:val="bullet"/>
      <w:lvlText w:val="•"/>
      <w:lvlJc w:val="left"/>
      <w:pPr>
        <w:ind w:left="310" w:hanging="202"/>
      </w:pPr>
      <w:rPr>
        <w:rFonts w:ascii="Trebuchet MS" w:eastAsia="Trebuchet MS" w:hAnsi="Trebuchet MS" w:cs="Trebuchet MS" w:hint="default"/>
        <w:b w:val="0"/>
        <w:bCs w:val="0"/>
        <w:i w:val="0"/>
        <w:iCs w:val="0"/>
        <w:color w:val="0252A0"/>
        <w:w w:val="127"/>
        <w:sz w:val="22"/>
        <w:szCs w:val="22"/>
        <w:lang w:val="de-DE" w:eastAsia="en-US" w:bidi="ar-SA"/>
      </w:rPr>
    </w:lvl>
    <w:lvl w:ilvl="1" w:tplc="6C06BA46">
      <w:numFmt w:val="bullet"/>
      <w:lvlText w:val="•"/>
      <w:lvlJc w:val="left"/>
      <w:pPr>
        <w:ind w:left="604" w:hanging="202"/>
      </w:pPr>
      <w:rPr>
        <w:rFonts w:hint="default"/>
        <w:lang w:val="de-DE" w:eastAsia="en-US" w:bidi="ar-SA"/>
      </w:rPr>
    </w:lvl>
    <w:lvl w:ilvl="2" w:tplc="91BC3E86">
      <w:numFmt w:val="bullet"/>
      <w:lvlText w:val="•"/>
      <w:lvlJc w:val="left"/>
      <w:pPr>
        <w:ind w:left="908" w:hanging="202"/>
      </w:pPr>
      <w:rPr>
        <w:rFonts w:hint="default"/>
        <w:lang w:val="de-DE" w:eastAsia="en-US" w:bidi="ar-SA"/>
      </w:rPr>
    </w:lvl>
    <w:lvl w:ilvl="3" w:tplc="2C681286">
      <w:numFmt w:val="bullet"/>
      <w:lvlText w:val="•"/>
      <w:lvlJc w:val="left"/>
      <w:pPr>
        <w:ind w:left="1212" w:hanging="202"/>
      </w:pPr>
      <w:rPr>
        <w:rFonts w:hint="default"/>
        <w:lang w:val="de-DE" w:eastAsia="en-US" w:bidi="ar-SA"/>
      </w:rPr>
    </w:lvl>
    <w:lvl w:ilvl="4" w:tplc="E4F071AE">
      <w:numFmt w:val="bullet"/>
      <w:lvlText w:val="•"/>
      <w:lvlJc w:val="left"/>
      <w:pPr>
        <w:ind w:left="1516" w:hanging="202"/>
      </w:pPr>
      <w:rPr>
        <w:rFonts w:hint="default"/>
        <w:lang w:val="de-DE" w:eastAsia="en-US" w:bidi="ar-SA"/>
      </w:rPr>
    </w:lvl>
    <w:lvl w:ilvl="5" w:tplc="B4606C80">
      <w:numFmt w:val="bullet"/>
      <w:lvlText w:val="•"/>
      <w:lvlJc w:val="left"/>
      <w:pPr>
        <w:ind w:left="1820" w:hanging="202"/>
      </w:pPr>
      <w:rPr>
        <w:rFonts w:hint="default"/>
        <w:lang w:val="de-DE" w:eastAsia="en-US" w:bidi="ar-SA"/>
      </w:rPr>
    </w:lvl>
    <w:lvl w:ilvl="6" w:tplc="F68C1302">
      <w:numFmt w:val="bullet"/>
      <w:lvlText w:val="•"/>
      <w:lvlJc w:val="left"/>
      <w:pPr>
        <w:ind w:left="2124" w:hanging="202"/>
      </w:pPr>
      <w:rPr>
        <w:rFonts w:hint="default"/>
        <w:lang w:val="de-DE" w:eastAsia="en-US" w:bidi="ar-SA"/>
      </w:rPr>
    </w:lvl>
    <w:lvl w:ilvl="7" w:tplc="A0E6188A">
      <w:numFmt w:val="bullet"/>
      <w:lvlText w:val="•"/>
      <w:lvlJc w:val="left"/>
      <w:pPr>
        <w:ind w:left="2428" w:hanging="202"/>
      </w:pPr>
      <w:rPr>
        <w:rFonts w:hint="default"/>
        <w:lang w:val="de-DE" w:eastAsia="en-US" w:bidi="ar-SA"/>
      </w:rPr>
    </w:lvl>
    <w:lvl w:ilvl="8" w:tplc="E04C6FF8">
      <w:numFmt w:val="bullet"/>
      <w:lvlText w:val="•"/>
      <w:lvlJc w:val="left"/>
      <w:pPr>
        <w:ind w:left="2732" w:hanging="202"/>
      </w:pPr>
      <w:rPr>
        <w:rFonts w:hint="default"/>
        <w:lang w:val="de-DE" w:eastAsia="en-US" w:bidi="ar-SA"/>
      </w:rPr>
    </w:lvl>
  </w:abstractNum>
  <w:num w:numId="1" w16cid:durableId="1666739784">
    <w:abstractNumId w:val="0"/>
  </w:num>
  <w:num w:numId="2" w16cid:durableId="381905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86E"/>
    <w:rsid w:val="00005C26"/>
    <w:rsid w:val="00023779"/>
    <w:rsid w:val="00023FBB"/>
    <w:rsid w:val="00027AED"/>
    <w:rsid w:val="00045108"/>
    <w:rsid w:val="000460E2"/>
    <w:rsid w:val="00083EB7"/>
    <w:rsid w:val="00094F98"/>
    <w:rsid w:val="000A7671"/>
    <w:rsid w:val="000B1034"/>
    <w:rsid w:val="000C245B"/>
    <w:rsid w:val="000C3FD3"/>
    <w:rsid w:val="000D59A5"/>
    <w:rsid w:val="000E2E4E"/>
    <w:rsid w:val="000E73BD"/>
    <w:rsid w:val="000F09AC"/>
    <w:rsid w:val="000F0E19"/>
    <w:rsid w:val="000F57DA"/>
    <w:rsid w:val="00107D32"/>
    <w:rsid w:val="00126DA3"/>
    <w:rsid w:val="00156D77"/>
    <w:rsid w:val="001A388A"/>
    <w:rsid w:val="001D22A0"/>
    <w:rsid w:val="001D317F"/>
    <w:rsid w:val="001D318A"/>
    <w:rsid w:val="001D665F"/>
    <w:rsid w:val="00210CF6"/>
    <w:rsid w:val="00223B1F"/>
    <w:rsid w:val="00250418"/>
    <w:rsid w:val="00265906"/>
    <w:rsid w:val="0026789D"/>
    <w:rsid w:val="0028743C"/>
    <w:rsid w:val="002926FF"/>
    <w:rsid w:val="00292929"/>
    <w:rsid w:val="002A7103"/>
    <w:rsid w:val="002B028A"/>
    <w:rsid w:val="002B1AC6"/>
    <w:rsid w:val="002D6968"/>
    <w:rsid w:val="002E5F79"/>
    <w:rsid w:val="002F7BEC"/>
    <w:rsid w:val="003052AE"/>
    <w:rsid w:val="003114F5"/>
    <w:rsid w:val="00314321"/>
    <w:rsid w:val="003217C4"/>
    <w:rsid w:val="00325491"/>
    <w:rsid w:val="00346099"/>
    <w:rsid w:val="00346E82"/>
    <w:rsid w:val="003810A5"/>
    <w:rsid w:val="00387437"/>
    <w:rsid w:val="003913F4"/>
    <w:rsid w:val="003950FC"/>
    <w:rsid w:val="003C5425"/>
    <w:rsid w:val="003C7A51"/>
    <w:rsid w:val="003D0294"/>
    <w:rsid w:val="003E5220"/>
    <w:rsid w:val="003F2CEE"/>
    <w:rsid w:val="003F3FA9"/>
    <w:rsid w:val="00404699"/>
    <w:rsid w:val="004120D9"/>
    <w:rsid w:val="00417E04"/>
    <w:rsid w:val="0042131D"/>
    <w:rsid w:val="00423CA3"/>
    <w:rsid w:val="004309BF"/>
    <w:rsid w:val="004567E9"/>
    <w:rsid w:val="00457543"/>
    <w:rsid w:val="00491A09"/>
    <w:rsid w:val="00491DD7"/>
    <w:rsid w:val="00495838"/>
    <w:rsid w:val="004973D3"/>
    <w:rsid w:val="004B22C9"/>
    <w:rsid w:val="004C7503"/>
    <w:rsid w:val="004C7D5D"/>
    <w:rsid w:val="004D641D"/>
    <w:rsid w:val="004F6E57"/>
    <w:rsid w:val="00513835"/>
    <w:rsid w:val="0052045A"/>
    <w:rsid w:val="005472C2"/>
    <w:rsid w:val="00552407"/>
    <w:rsid w:val="0055584B"/>
    <w:rsid w:val="005B2981"/>
    <w:rsid w:val="005D1403"/>
    <w:rsid w:val="005D5E4E"/>
    <w:rsid w:val="005F19FE"/>
    <w:rsid w:val="005F201A"/>
    <w:rsid w:val="005F7125"/>
    <w:rsid w:val="0061051E"/>
    <w:rsid w:val="00622988"/>
    <w:rsid w:val="006258C6"/>
    <w:rsid w:val="00635800"/>
    <w:rsid w:val="00647CAC"/>
    <w:rsid w:val="00652503"/>
    <w:rsid w:val="00653CF8"/>
    <w:rsid w:val="00657EB2"/>
    <w:rsid w:val="00662987"/>
    <w:rsid w:val="00665E37"/>
    <w:rsid w:val="00667F69"/>
    <w:rsid w:val="006708ED"/>
    <w:rsid w:val="00682079"/>
    <w:rsid w:val="006A6A02"/>
    <w:rsid w:val="006A73CE"/>
    <w:rsid w:val="006D6E1E"/>
    <w:rsid w:val="006E2D10"/>
    <w:rsid w:val="006E419A"/>
    <w:rsid w:val="006E5683"/>
    <w:rsid w:val="006F3F1E"/>
    <w:rsid w:val="006F74E8"/>
    <w:rsid w:val="007127C4"/>
    <w:rsid w:val="0071526C"/>
    <w:rsid w:val="00730D14"/>
    <w:rsid w:val="00740AE4"/>
    <w:rsid w:val="007434A8"/>
    <w:rsid w:val="0074473A"/>
    <w:rsid w:val="00754B62"/>
    <w:rsid w:val="00755DD1"/>
    <w:rsid w:val="0076189B"/>
    <w:rsid w:val="00761D68"/>
    <w:rsid w:val="007728C3"/>
    <w:rsid w:val="00787F21"/>
    <w:rsid w:val="00791777"/>
    <w:rsid w:val="007B2CB7"/>
    <w:rsid w:val="007B60F3"/>
    <w:rsid w:val="007C64D7"/>
    <w:rsid w:val="007E0315"/>
    <w:rsid w:val="007E399C"/>
    <w:rsid w:val="007E58F8"/>
    <w:rsid w:val="007E7D51"/>
    <w:rsid w:val="0080482C"/>
    <w:rsid w:val="00814D2A"/>
    <w:rsid w:val="00817147"/>
    <w:rsid w:val="00827A27"/>
    <w:rsid w:val="008425CA"/>
    <w:rsid w:val="008450CD"/>
    <w:rsid w:val="00852127"/>
    <w:rsid w:val="00854932"/>
    <w:rsid w:val="00856CC7"/>
    <w:rsid w:val="00864DFA"/>
    <w:rsid w:val="008659B7"/>
    <w:rsid w:val="00866D6D"/>
    <w:rsid w:val="008A23E1"/>
    <w:rsid w:val="008A4122"/>
    <w:rsid w:val="008B45A9"/>
    <w:rsid w:val="008B611E"/>
    <w:rsid w:val="008C7377"/>
    <w:rsid w:val="008D431B"/>
    <w:rsid w:val="008E0330"/>
    <w:rsid w:val="009210C8"/>
    <w:rsid w:val="0092627A"/>
    <w:rsid w:val="009269A4"/>
    <w:rsid w:val="00926F0F"/>
    <w:rsid w:val="009500A0"/>
    <w:rsid w:val="00982887"/>
    <w:rsid w:val="0099020C"/>
    <w:rsid w:val="009C1710"/>
    <w:rsid w:val="009C2A1C"/>
    <w:rsid w:val="009C7A73"/>
    <w:rsid w:val="009D1385"/>
    <w:rsid w:val="00A0684F"/>
    <w:rsid w:val="00A24445"/>
    <w:rsid w:val="00A24ADC"/>
    <w:rsid w:val="00A26355"/>
    <w:rsid w:val="00A26829"/>
    <w:rsid w:val="00A27C88"/>
    <w:rsid w:val="00A6258C"/>
    <w:rsid w:val="00A75514"/>
    <w:rsid w:val="00A77DE4"/>
    <w:rsid w:val="00A87C1D"/>
    <w:rsid w:val="00AA593A"/>
    <w:rsid w:val="00AC3FB9"/>
    <w:rsid w:val="00AE3D36"/>
    <w:rsid w:val="00AE61BB"/>
    <w:rsid w:val="00B00BF1"/>
    <w:rsid w:val="00B02FEA"/>
    <w:rsid w:val="00B27FBF"/>
    <w:rsid w:val="00B8420D"/>
    <w:rsid w:val="00B97A00"/>
    <w:rsid w:val="00BA02AC"/>
    <w:rsid w:val="00BA5C5E"/>
    <w:rsid w:val="00BA7578"/>
    <w:rsid w:val="00BB4B1D"/>
    <w:rsid w:val="00BB5616"/>
    <w:rsid w:val="00BB7083"/>
    <w:rsid w:val="00BD5925"/>
    <w:rsid w:val="00BF24CD"/>
    <w:rsid w:val="00BF44A1"/>
    <w:rsid w:val="00BF6A31"/>
    <w:rsid w:val="00C03E62"/>
    <w:rsid w:val="00C24612"/>
    <w:rsid w:val="00C34EEE"/>
    <w:rsid w:val="00C366F8"/>
    <w:rsid w:val="00C52B21"/>
    <w:rsid w:val="00C6145B"/>
    <w:rsid w:val="00C61C23"/>
    <w:rsid w:val="00C94792"/>
    <w:rsid w:val="00C95568"/>
    <w:rsid w:val="00CA660D"/>
    <w:rsid w:val="00CA7129"/>
    <w:rsid w:val="00CB7672"/>
    <w:rsid w:val="00CC3D7E"/>
    <w:rsid w:val="00CC4C80"/>
    <w:rsid w:val="00CD057F"/>
    <w:rsid w:val="00CD2710"/>
    <w:rsid w:val="00CE4A74"/>
    <w:rsid w:val="00CE686E"/>
    <w:rsid w:val="00CE7A44"/>
    <w:rsid w:val="00CF04D1"/>
    <w:rsid w:val="00D14480"/>
    <w:rsid w:val="00D25AFA"/>
    <w:rsid w:val="00D64E80"/>
    <w:rsid w:val="00D70A5D"/>
    <w:rsid w:val="00D906F9"/>
    <w:rsid w:val="00DA00F8"/>
    <w:rsid w:val="00DB2CE6"/>
    <w:rsid w:val="00DC05F5"/>
    <w:rsid w:val="00DC28FC"/>
    <w:rsid w:val="00DC4624"/>
    <w:rsid w:val="00DC7E4B"/>
    <w:rsid w:val="00DF4A0A"/>
    <w:rsid w:val="00E00C78"/>
    <w:rsid w:val="00E0130A"/>
    <w:rsid w:val="00E01841"/>
    <w:rsid w:val="00E20683"/>
    <w:rsid w:val="00E21D8B"/>
    <w:rsid w:val="00E4336B"/>
    <w:rsid w:val="00E645B1"/>
    <w:rsid w:val="00EB25B4"/>
    <w:rsid w:val="00ED060D"/>
    <w:rsid w:val="00EE4444"/>
    <w:rsid w:val="00F2439B"/>
    <w:rsid w:val="00F353AC"/>
    <w:rsid w:val="00F36EAC"/>
    <w:rsid w:val="00F37BCA"/>
    <w:rsid w:val="00F73158"/>
    <w:rsid w:val="00F824DA"/>
    <w:rsid w:val="00FC7A86"/>
    <w:rsid w:val="00FD5627"/>
    <w:rsid w:val="00FD61BB"/>
    <w:rsid w:val="00FE174F"/>
    <w:rsid w:val="00FE3A61"/>
    <w:rsid w:val="00FF35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2B618"/>
  <w15:chartTrackingRefBased/>
  <w15:docId w15:val="{A030C1D7-9E3D-44D2-81A6-13A84C28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A71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3E5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24445"/>
    <w:pPr>
      <w:widowControl w:val="0"/>
      <w:autoSpaceDE w:val="0"/>
      <w:autoSpaceDN w:val="0"/>
      <w:spacing w:before="73" w:after="0" w:line="240" w:lineRule="auto"/>
      <w:ind w:left="108"/>
    </w:pPr>
    <w:rPr>
      <w:rFonts w:ascii="Trebuchet MS" w:eastAsia="Trebuchet MS" w:hAnsi="Trebuchet MS" w:cs="Trebuchet MS"/>
    </w:rPr>
  </w:style>
  <w:style w:type="character" w:styleId="Hyperlink">
    <w:name w:val="Hyperlink"/>
    <w:basedOn w:val="Standardskrifttypeiafsnit"/>
    <w:uiPriority w:val="99"/>
    <w:unhideWhenUsed/>
    <w:rsid w:val="0080482C"/>
    <w:rPr>
      <w:color w:val="0563C1" w:themeColor="hyperlink"/>
      <w:u w:val="single"/>
    </w:rPr>
  </w:style>
  <w:style w:type="character" w:customStyle="1" w:styleId="UnresolvedMention1">
    <w:name w:val="Unresolved Mention1"/>
    <w:basedOn w:val="Standardskrifttypeiafsnit"/>
    <w:uiPriority w:val="99"/>
    <w:semiHidden/>
    <w:unhideWhenUsed/>
    <w:rsid w:val="0080482C"/>
    <w:rPr>
      <w:color w:val="605E5C"/>
      <w:shd w:val="clear" w:color="auto" w:fill="E1DFDD"/>
    </w:rPr>
  </w:style>
  <w:style w:type="paragraph" w:styleId="Brdtekst">
    <w:name w:val="Body Text"/>
    <w:basedOn w:val="Normal"/>
    <w:link w:val="BrdtekstTegn"/>
    <w:uiPriority w:val="1"/>
    <w:qFormat/>
    <w:rsid w:val="000C245B"/>
    <w:pPr>
      <w:widowControl w:val="0"/>
      <w:autoSpaceDE w:val="0"/>
      <w:autoSpaceDN w:val="0"/>
      <w:spacing w:after="0" w:line="240" w:lineRule="auto"/>
    </w:pPr>
    <w:rPr>
      <w:rFonts w:ascii="Trebuchet MS" w:eastAsia="Trebuchet MS" w:hAnsi="Trebuchet MS" w:cs="Trebuchet MS"/>
      <w:sz w:val="24"/>
      <w:szCs w:val="24"/>
    </w:rPr>
  </w:style>
  <w:style w:type="character" w:customStyle="1" w:styleId="BrdtekstTegn">
    <w:name w:val="Brødtekst Tegn"/>
    <w:basedOn w:val="Standardskrifttypeiafsnit"/>
    <w:link w:val="Brdtekst"/>
    <w:uiPriority w:val="1"/>
    <w:rsid w:val="000C245B"/>
    <w:rPr>
      <w:rFonts w:ascii="Trebuchet MS" w:eastAsia="Trebuchet MS" w:hAnsi="Trebuchet MS" w:cs="Trebuchet MS"/>
      <w:sz w:val="24"/>
      <w:szCs w:val="24"/>
    </w:rPr>
  </w:style>
  <w:style w:type="paragraph" w:styleId="Korrektur">
    <w:name w:val="Revision"/>
    <w:hidden/>
    <w:uiPriority w:val="99"/>
    <w:semiHidden/>
    <w:rsid w:val="00C34EEE"/>
    <w:pPr>
      <w:spacing w:after="0" w:line="240" w:lineRule="auto"/>
    </w:pPr>
  </w:style>
  <w:style w:type="character" w:styleId="Kommentarhenvisning">
    <w:name w:val="annotation reference"/>
    <w:basedOn w:val="Standardskrifttypeiafsnit"/>
    <w:uiPriority w:val="99"/>
    <w:semiHidden/>
    <w:unhideWhenUsed/>
    <w:rsid w:val="00C34EEE"/>
    <w:rPr>
      <w:sz w:val="16"/>
      <w:szCs w:val="16"/>
    </w:rPr>
  </w:style>
  <w:style w:type="paragraph" w:styleId="Kommentartekst">
    <w:name w:val="annotation text"/>
    <w:basedOn w:val="Normal"/>
    <w:link w:val="KommentartekstTegn"/>
    <w:uiPriority w:val="99"/>
    <w:unhideWhenUsed/>
    <w:rsid w:val="00C34EEE"/>
    <w:pPr>
      <w:spacing w:line="240" w:lineRule="auto"/>
    </w:pPr>
    <w:rPr>
      <w:sz w:val="20"/>
      <w:szCs w:val="20"/>
    </w:rPr>
  </w:style>
  <w:style w:type="character" w:customStyle="1" w:styleId="KommentartekstTegn">
    <w:name w:val="Kommentartekst Tegn"/>
    <w:basedOn w:val="Standardskrifttypeiafsnit"/>
    <w:link w:val="Kommentartekst"/>
    <w:uiPriority w:val="99"/>
    <w:rsid w:val="00C34EEE"/>
    <w:rPr>
      <w:sz w:val="20"/>
      <w:szCs w:val="20"/>
    </w:rPr>
  </w:style>
  <w:style w:type="character" w:customStyle="1" w:styleId="Overskrift1Tegn">
    <w:name w:val="Overskrift 1 Tegn"/>
    <w:basedOn w:val="Standardskrifttypeiafsnit"/>
    <w:link w:val="Overskrift1"/>
    <w:uiPriority w:val="9"/>
    <w:rsid w:val="002A7103"/>
    <w:rPr>
      <w:rFonts w:asciiTheme="majorHAnsi" w:eastAsiaTheme="majorEastAsia" w:hAnsiTheme="majorHAnsi" w:cstheme="majorBidi"/>
      <w:color w:val="2F5496" w:themeColor="accent1" w:themeShade="BF"/>
      <w:sz w:val="32"/>
      <w:szCs w:val="32"/>
    </w:rPr>
  </w:style>
  <w:style w:type="paragraph" w:styleId="Overskrift">
    <w:name w:val="TOC Heading"/>
    <w:basedOn w:val="Overskrift1"/>
    <w:next w:val="Normal"/>
    <w:uiPriority w:val="39"/>
    <w:unhideWhenUsed/>
    <w:qFormat/>
    <w:rsid w:val="002A7103"/>
    <w:pPr>
      <w:outlineLvl w:val="9"/>
    </w:pPr>
    <w:rPr>
      <w:lang w:val="en-US"/>
    </w:rPr>
  </w:style>
  <w:style w:type="paragraph" w:styleId="Indholdsfortegnelse2">
    <w:name w:val="toc 2"/>
    <w:basedOn w:val="Normal"/>
    <w:next w:val="Normal"/>
    <w:autoRedefine/>
    <w:uiPriority w:val="39"/>
    <w:unhideWhenUsed/>
    <w:rsid w:val="002A7103"/>
    <w:pPr>
      <w:spacing w:after="100"/>
      <w:ind w:left="220"/>
    </w:pPr>
    <w:rPr>
      <w:rFonts w:eastAsiaTheme="minorEastAsia" w:cs="Times New Roman"/>
      <w:lang w:val="en-US"/>
    </w:rPr>
  </w:style>
  <w:style w:type="paragraph" w:styleId="Indholdsfortegnelse1">
    <w:name w:val="toc 1"/>
    <w:basedOn w:val="Normal"/>
    <w:next w:val="Normal"/>
    <w:autoRedefine/>
    <w:uiPriority w:val="39"/>
    <w:unhideWhenUsed/>
    <w:rsid w:val="007E0315"/>
    <w:pPr>
      <w:tabs>
        <w:tab w:val="right" w:leader="dot" w:pos="9062"/>
      </w:tabs>
      <w:spacing w:after="100"/>
    </w:pPr>
    <w:rPr>
      <w:rFonts w:eastAsiaTheme="minorEastAsia" w:cs="Times New Roman"/>
      <w:lang w:val="en-US"/>
    </w:rPr>
  </w:style>
  <w:style w:type="paragraph" w:styleId="Indholdsfortegnelse3">
    <w:name w:val="toc 3"/>
    <w:basedOn w:val="Normal"/>
    <w:next w:val="Normal"/>
    <w:autoRedefine/>
    <w:uiPriority w:val="39"/>
    <w:unhideWhenUsed/>
    <w:rsid w:val="002A7103"/>
    <w:pPr>
      <w:spacing w:after="100"/>
      <w:ind w:left="440"/>
    </w:pPr>
    <w:rPr>
      <w:rFonts w:eastAsiaTheme="minorEastAsia" w:cs="Times New Roman"/>
      <w:lang w:val="en-US"/>
    </w:rPr>
  </w:style>
  <w:style w:type="paragraph" w:styleId="Sidehoved">
    <w:name w:val="header"/>
    <w:basedOn w:val="Normal"/>
    <w:link w:val="SidehovedTegn"/>
    <w:uiPriority w:val="99"/>
    <w:unhideWhenUsed/>
    <w:rsid w:val="00C95568"/>
    <w:pPr>
      <w:tabs>
        <w:tab w:val="center" w:pos="4703"/>
        <w:tab w:val="right" w:pos="9406"/>
      </w:tabs>
      <w:spacing w:after="0" w:line="240" w:lineRule="auto"/>
    </w:pPr>
  </w:style>
  <w:style w:type="character" w:customStyle="1" w:styleId="SidehovedTegn">
    <w:name w:val="Sidehoved Tegn"/>
    <w:basedOn w:val="Standardskrifttypeiafsnit"/>
    <w:link w:val="Sidehoved"/>
    <w:uiPriority w:val="99"/>
    <w:rsid w:val="00C95568"/>
  </w:style>
  <w:style w:type="paragraph" w:styleId="Sidefod">
    <w:name w:val="footer"/>
    <w:basedOn w:val="Normal"/>
    <w:link w:val="SidefodTegn"/>
    <w:uiPriority w:val="99"/>
    <w:unhideWhenUsed/>
    <w:rsid w:val="00C95568"/>
    <w:pPr>
      <w:tabs>
        <w:tab w:val="center" w:pos="4703"/>
        <w:tab w:val="right" w:pos="9406"/>
      </w:tabs>
      <w:spacing w:after="0" w:line="240" w:lineRule="auto"/>
    </w:pPr>
  </w:style>
  <w:style w:type="character" w:customStyle="1" w:styleId="SidefodTegn">
    <w:name w:val="Sidefod Tegn"/>
    <w:basedOn w:val="Standardskrifttypeiafsnit"/>
    <w:link w:val="Sidefod"/>
    <w:uiPriority w:val="99"/>
    <w:rsid w:val="00C95568"/>
  </w:style>
  <w:style w:type="character" w:styleId="Pladsholdertekst">
    <w:name w:val="Placeholder Text"/>
    <w:basedOn w:val="Standardskrifttypeiafsnit"/>
    <w:uiPriority w:val="99"/>
    <w:semiHidden/>
    <w:rsid w:val="000F57DA"/>
    <w:rPr>
      <w:color w:val="808080"/>
    </w:rPr>
  </w:style>
  <w:style w:type="paragraph" w:styleId="Kommentaremne">
    <w:name w:val="annotation subject"/>
    <w:basedOn w:val="Kommentartekst"/>
    <w:next w:val="Kommentartekst"/>
    <w:link w:val="KommentaremneTegn"/>
    <w:uiPriority w:val="99"/>
    <w:semiHidden/>
    <w:unhideWhenUsed/>
    <w:rsid w:val="00A0684F"/>
    <w:rPr>
      <w:b/>
      <w:bCs/>
    </w:rPr>
  </w:style>
  <w:style w:type="character" w:customStyle="1" w:styleId="KommentaremneTegn">
    <w:name w:val="Kommentaremne Tegn"/>
    <w:basedOn w:val="KommentartekstTegn"/>
    <w:link w:val="Kommentaremne"/>
    <w:uiPriority w:val="99"/>
    <w:semiHidden/>
    <w:rsid w:val="00A0684F"/>
    <w:rPr>
      <w:b/>
      <w:bCs/>
      <w:sz w:val="20"/>
      <w:szCs w:val="20"/>
    </w:rPr>
  </w:style>
  <w:style w:type="paragraph" w:customStyle="1" w:styleId="Default">
    <w:name w:val="Default"/>
    <w:rsid w:val="008450CD"/>
    <w:pPr>
      <w:autoSpaceDE w:val="0"/>
      <w:autoSpaceDN w:val="0"/>
      <w:adjustRightInd w:val="0"/>
      <w:spacing w:after="0" w:line="240" w:lineRule="auto"/>
    </w:pPr>
    <w:rPr>
      <w:rFonts w:ascii="Calibri" w:hAnsi="Calibri" w:cs="Calibri"/>
      <w:color w:val="000000"/>
      <w:sz w:val="24"/>
      <w:szCs w:val="24"/>
      <w:lang w:val="sv-SE"/>
    </w:rPr>
  </w:style>
  <w:style w:type="paragraph" w:styleId="Markeringsbobletekst">
    <w:name w:val="Balloon Text"/>
    <w:basedOn w:val="Normal"/>
    <w:link w:val="MarkeringsbobletekstTegn"/>
    <w:uiPriority w:val="99"/>
    <w:semiHidden/>
    <w:unhideWhenUsed/>
    <w:rsid w:val="00DC462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C46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25E76A19B324DAD49C6F434D64CEB" ma:contentTypeVersion="26" ma:contentTypeDescription="Create a new document." ma:contentTypeScope="" ma:versionID="bcd1edf207f6157d40c1c421f9fd92d3">
  <xsd:schema xmlns:xsd="http://www.w3.org/2001/XMLSchema" xmlns:xs="http://www.w3.org/2001/XMLSchema" xmlns:p="http://schemas.microsoft.com/office/2006/metadata/properties" xmlns:ns2="833167a2-bd5d-41c9-82f5-b9c7ba34eb9e" xmlns:ns3="835173d4-e344-49c6-a925-d348c01650d9" targetNamespace="http://schemas.microsoft.com/office/2006/metadata/properties" ma:root="true" ma:fieldsID="1df83c0767285525ba9af188cf02ba0e" ns2:_="" ns3:_="">
    <xsd:import namespace="833167a2-bd5d-41c9-82f5-b9c7ba34eb9e"/>
    <xsd:import namespace="835173d4-e344-49c6-a925-d348c01650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67a2-bd5d-41c9-82f5-b9c7ba34eb9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5173d4-e344-49c6-a925-d348c01650d9"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7caf88-fb8a-4fcd-a04f-fea74fa5edad}" ma:internalName="TaxCatchAll" ma:showField="CatchAllData" ma:web="835173d4-e344-49c6-a925-d348c01650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35173d4-e344-49c6-a925-d348c01650d9" xsi:nil="true"/>
    <lcf76f155ced4ddcb4097134ff3c332f xmlns="833167a2-bd5d-41c9-82f5-b9c7ba34eb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9CC6E9-E9D6-4CE4-A171-13E7DDD78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67a2-bd5d-41c9-82f5-b9c7ba34eb9e"/>
    <ds:schemaRef ds:uri="835173d4-e344-49c6-a925-d348c0165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58F1D-4654-4C2C-9B36-B39446CBA6A5}">
  <ds:schemaRefs>
    <ds:schemaRef ds:uri="http://schemas.microsoft.com/sharepoint/v3/contenttype/forms"/>
  </ds:schemaRefs>
</ds:datastoreItem>
</file>

<file path=customXml/itemProps3.xml><?xml version="1.0" encoding="utf-8"?>
<ds:datastoreItem xmlns:ds="http://schemas.openxmlformats.org/officeDocument/2006/customXml" ds:itemID="{6D04EC38-B317-4663-B29A-10B28898BE6F}">
  <ds:schemaRefs>
    <ds:schemaRef ds:uri="http://schemas.openxmlformats.org/officeDocument/2006/bibliography"/>
  </ds:schemaRefs>
</ds:datastoreItem>
</file>

<file path=customXml/itemProps4.xml><?xml version="1.0" encoding="utf-8"?>
<ds:datastoreItem xmlns:ds="http://schemas.openxmlformats.org/officeDocument/2006/customXml" ds:itemID="{018EE6F6-1B3F-44C2-B685-33EE9E438DD7}">
  <ds:schemaRefs>
    <ds:schemaRef ds:uri="835173d4-e344-49c6-a925-d348c01650d9"/>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833167a2-bd5d-41c9-82f5-b9c7ba34eb9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2935</Words>
  <Characters>17908</Characters>
  <Application>Microsoft Office Word</Application>
  <DocSecurity>4</DocSecurity>
  <Lines>149</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Anne-Dorthe Nielsen</dc:creator>
  <cp:keywords/>
  <dc:description/>
  <cp:lastModifiedBy>Seeberg Jens Svanholt</cp:lastModifiedBy>
  <cp:revision>2</cp:revision>
  <dcterms:created xsi:type="dcterms:W3CDTF">2024-11-25T11:41:00Z</dcterms:created>
  <dcterms:modified xsi:type="dcterms:W3CDTF">2024-11-25T11:41:00Z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2023-08-03T09:56:14Z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078d2672-f174-4a10-968c-8c241a346451</vt:lpwstr>
  </property>
  <property fmtid="{D5CDD505-2E9C-101B-9397-08002B2CF9AE}" pid="8" name="MSIP_Label_3c9bec58-8084-492e-8360-0e1cfe36408c_ContentBits">
    <vt:lpwstr>0</vt:lpwstr>
  </property>
  <property fmtid="{D5CDD505-2E9C-101B-9397-08002B2CF9AE}" pid="9" name="ContentTypeId">
    <vt:lpwstr>0x0101006F325E76A19B324DAD49C6F434D64CEB</vt:lpwstr>
  </property>
</Properties>
</file>